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A473B" w14:textId="5BE5D94E" w:rsidR="00DB209B" w:rsidRPr="00FA5BFC" w:rsidRDefault="00C110DB" w:rsidP="00FA5BFC">
      <w:pPr>
        <w:pStyle w:val="Title"/>
        <w:rPr>
          <w:color w:val="000000"/>
          <w:sz w:val="28"/>
        </w:rPr>
      </w:pPr>
      <w:r w:rsidRPr="001E692A">
        <w:rPr>
          <w:rFonts w:ascii="MV Boli" w:hAnsi="MV Boli" w:cs="MV Boli"/>
          <w:noProof/>
          <w:sz w:val="28"/>
          <w:highlight w:val="yellow"/>
          <w:lang w:eastAsia="en-GB"/>
        </w:rPr>
        <w:drawing>
          <wp:anchor distT="0" distB="0" distL="114300" distR="114300" simplePos="0" relativeHeight="251658240" behindDoc="1" locked="0" layoutInCell="1" allowOverlap="1" wp14:anchorId="56EBD9E0" wp14:editId="31125A24">
            <wp:simplePos x="0" y="0"/>
            <wp:positionH relativeFrom="column">
              <wp:posOffset>4073552</wp:posOffset>
            </wp:positionH>
            <wp:positionV relativeFrom="paragraph">
              <wp:posOffset>-345440</wp:posOffset>
            </wp:positionV>
            <wp:extent cx="2320898" cy="619125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FNI Log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5496" cy="6230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0E64" w:rsidRPr="00FA5BFC">
        <w:t>Funding for Medical/</w:t>
      </w:r>
      <w:r w:rsidR="00BD3400">
        <w:t>Dental students</w:t>
      </w:r>
    </w:p>
    <w:p w14:paraId="30521E01" w14:textId="21ABDEB1" w:rsidR="00DB209B" w:rsidRDefault="00F90E64" w:rsidP="00FA5BFC">
      <w:pPr>
        <w:autoSpaceDE w:val="0"/>
        <w:autoSpaceDN w:val="0"/>
        <w:adjustRightInd w:val="0"/>
        <w:spacing w:after="120"/>
        <w:rPr>
          <w:rFonts w:ascii="Arial" w:eastAsiaTheme="minorHAnsi" w:hAnsi="Arial" w:cs="Arial"/>
          <w:color w:val="000000"/>
          <w:lang w:eastAsia="en-US"/>
        </w:rPr>
      </w:pPr>
      <w:r w:rsidRPr="00F90E64">
        <w:rPr>
          <w:rFonts w:ascii="Arial" w:eastAsiaTheme="minorHAnsi" w:hAnsi="Arial" w:cs="Arial"/>
          <w:color w:val="000000"/>
          <w:lang w:eastAsia="en-US"/>
        </w:rPr>
        <w:t xml:space="preserve">Students on UK first primary degree courses in </w:t>
      </w:r>
      <w:r w:rsidR="00535EC2" w:rsidRPr="00062245">
        <w:rPr>
          <w:rFonts w:ascii="Arial" w:eastAsiaTheme="minorHAnsi" w:hAnsi="Arial" w:cs="Arial"/>
          <w:lang w:eastAsia="en-US"/>
        </w:rPr>
        <w:t xml:space="preserve">Medicine/Dentistry </w:t>
      </w:r>
      <w:r w:rsidRPr="00F90E64">
        <w:rPr>
          <w:rFonts w:ascii="Arial" w:eastAsiaTheme="minorHAnsi" w:hAnsi="Arial" w:cs="Arial"/>
          <w:color w:val="000000"/>
          <w:lang w:eastAsia="en-US"/>
        </w:rPr>
        <w:t xml:space="preserve">are eligible for </w:t>
      </w:r>
      <w:r w:rsidR="00BC5BE4">
        <w:rPr>
          <w:rFonts w:ascii="Arial" w:eastAsiaTheme="minorHAnsi" w:hAnsi="Arial" w:cs="Arial"/>
          <w:color w:val="000000"/>
          <w:lang w:eastAsia="en-US"/>
        </w:rPr>
        <w:t xml:space="preserve">the </w:t>
      </w:r>
      <w:r w:rsidRPr="00F90E64">
        <w:rPr>
          <w:rFonts w:ascii="Arial" w:eastAsiaTheme="minorHAnsi" w:hAnsi="Arial" w:cs="Arial"/>
          <w:color w:val="000000"/>
          <w:lang w:eastAsia="en-US"/>
        </w:rPr>
        <w:t xml:space="preserve">standard student finance </w:t>
      </w:r>
      <w:r w:rsidR="00BC5BE4">
        <w:rPr>
          <w:rFonts w:ascii="Arial" w:eastAsiaTheme="minorHAnsi" w:hAnsi="Arial" w:cs="Arial"/>
          <w:color w:val="000000"/>
          <w:lang w:eastAsia="en-US"/>
        </w:rPr>
        <w:t xml:space="preserve">package </w:t>
      </w:r>
      <w:r w:rsidRPr="00F90E64">
        <w:rPr>
          <w:rFonts w:ascii="Arial" w:eastAsiaTheme="minorHAnsi" w:hAnsi="Arial" w:cs="Arial"/>
          <w:color w:val="000000"/>
          <w:lang w:eastAsia="en-US"/>
        </w:rPr>
        <w:t>for the first three years of their degree course as follows:</w:t>
      </w:r>
    </w:p>
    <w:p w14:paraId="4E61D697" w14:textId="06EB90BD" w:rsidR="00DB209B" w:rsidRPr="00DB209B" w:rsidRDefault="00026D4D" w:rsidP="005A501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Tuition Fee L</w:t>
      </w:r>
      <w:r w:rsidR="00DB209B" w:rsidRPr="00DB209B">
        <w:rPr>
          <w:rFonts w:ascii="Arial" w:hAnsi="Arial" w:cs="Arial"/>
          <w:color w:val="000000"/>
          <w:sz w:val="24"/>
          <w:szCs w:val="24"/>
        </w:rPr>
        <w:t>oan</w:t>
      </w:r>
      <w:r w:rsidR="000F6963">
        <w:rPr>
          <w:rFonts w:ascii="Arial" w:hAnsi="Arial" w:cs="Arial"/>
          <w:color w:val="000000"/>
          <w:sz w:val="24"/>
          <w:szCs w:val="24"/>
        </w:rPr>
        <w:t>,</w:t>
      </w:r>
    </w:p>
    <w:p w14:paraId="1A7237DF" w14:textId="56B15EF0" w:rsidR="00DB209B" w:rsidRPr="00DB209B" w:rsidRDefault="00026D4D" w:rsidP="005A501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means-tested Maintenance L</w:t>
      </w:r>
      <w:r w:rsidR="00DB209B" w:rsidRPr="00DB209B">
        <w:rPr>
          <w:rFonts w:ascii="Arial" w:hAnsi="Arial" w:cs="Arial"/>
          <w:color w:val="000000"/>
          <w:sz w:val="24"/>
          <w:szCs w:val="24"/>
        </w:rPr>
        <w:t>oan</w:t>
      </w:r>
      <w:r w:rsidR="000F6963">
        <w:rPr>
          <w:rFonts w:ascii="Arial" w:hAnsi="Arial" w:cs="Arial"/>
          <w:color w:val="000000"/>
          <w:sz w:val="24"/>
          <w:szCs w:val="24"/>
        </w:rPr>
        <w:t>,</w:t>
      </w:r>
    </w:p>
    <w:p w14:paraId="2AD637C3" w14:textId="64B72854" w:rsidR="00DB209B" w:rsidRPr="00DB209B" w:rsidRDefault="00F90E64" w:rsidP="005A501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B209B">
        <w:rPr>
          <w:rFonts w:ascii="Arial" w:hAnsi="Arial" w:cs="Arial"/>
          <w:color w:val="000000"/>
          <w:sz w:val="24"/>
          <w:szCs w:val="24"/>
        </w:rPr>
        <w:t xml:space="preserve">a </w:t>
      </w:r>
      <w:r w:rsidR="00026D4D">
        <w:rPr>
          <w:rFonts w:ascii="Arial" w:hAnsi="Arial" w:cs="Arial"/>
          <w:color w:val="000000"/>
          <w:sz w:val="24"/>
          <w:szCs w:val="24"/>
        </w:rPr>
        <w:t>means-tested Maintenance G</w:t>
      </w:r>
      <w:r w:rsidR="00DB209B" w:rsidRPr="00DB209B">
        <w:rPr>
          <w:rFonts w:ascii="Arial" w:hAnsi="Arial" w:cs="Arial"/>
          <w:color w:val="000000"/>
          <w:sz w:val="24"/>
          <w:szCs w:val="24"/>
        </w:rPr>
        <w:t>rant</w:t>
      </w:r>
      <w:r w:rsidR="000F6963">
        <w:rPr>
          <w:rFonts w:ascii="Arial" w:hAnsi="Arial" w:cs="Arial"/>
          <w:color w:val="000000"/>
          <w:sz w:val="24"/>
          <w:szCs w:val="24"/>
        </w:rPr>
        <w:t>,</w:t>
      </w:r>
    </w:p>
    <w:p w14:paraId="7725EDD5" w14:textId="6887653F" w:rsidR="00F90E64" w:rsidRPr="00DB209B" w:rsidRDefault="00682227" w:rsidP="00FA5BF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360" w:line="240" w:lineRule="auto"/>
        <w:ind w:left="714" w:hanging="357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</w:t>
      </w:r>
      <w:r w:rsidRPr="00DB209B">
        <w:rPr>
          <w:rFonts w:ascii="Arial" w:hAnsi="Arial" w:cs="Arial"/>
          <w:color w:val="000000"/>
          <w:sz w:val="24"/>
          <w:szCs w:val="24"/>
        </w:rPr>
        <w:t>dditional</w:t>
      </w:r>
      <w:r w:rsidR="00F90E64" w:rsidRPr="00DB209B">
        <w:rPr>
          <w:rFonts w:ascii="Arial" w:hAnsi="Arial" w:cs="Arial"/>
          <w:color w:val="000000"/>
          <w:sz w:val="24"/>
          <w:szCs w:val="24"/>
        </w:rPr>
        <w:t xml:space="preserve"> help as required for students with disabilities or for students with dependents</w:t>
      </w:r>
      <w:r w:rsidR="009377E9">
        <w:rPr>
          <w:rFonts w:ascii="Arial" w:hAnsi="Arial" w:cs="Arial"/>
          <w:color w:val="000000"/>
          <w:sz w:val="24"/>
          <w:szCs w:val="24"/>
        </w:rPr>
        <w:t>.</w:t>
      </w:r>
    </w:p>
    <w:p w14:paraId="595729B1" w14:textId="4771A03A" w:rsidR="00DB209B" w:rsidRPr="00FA5BFC" w:rsidRDefault="00F90E64" w:rsidP="00FA5BFC">
      <w:pPr>
        <w:pStyle w:val="Heading1"/>
      </w:pPr>
      <w:r w:rsidRPr="00FA5BFC">
        <w:t xml:space="preserve">Funding for an </w:t>
      </w:r>
      <w:r w:rsidR="00FA5BFC" w:rsidRPr="00FA5BFC">
        <w:t>i</w:t>
      </w:r>
      <w:r w:rsidRPr="00FA5BFC">
        <w:t xml:space="preserve">ntercalated </w:t>
      </w:r>
      <w:r w:rsidR="00FA5BFC" w:rsidRPr="00FA5BFC">
        <w:t>y</w:t>
      </w:r>
      <w:r w:rsidRPr="00FA5BFC">
        <w:t>ear</w:t>
      </w:r>
    </w:p>
    <w:p w14:paraId="696DBB0F" w14:textId="3BB057F7" w:rsidR="00DB209B" w:rsidRPr="000F363B" w:rsidRDefault="00F90E64" w:rsidP="00FA5BFC">
      <w:pPr>
        <w:autoSpaceDE w:val="0"/>
        <w:autoSpaceDN w:val="0"/>
        <w:adjustRightInd w:val="0"/>
        <w:spacing w:after="240"/>
        <w:rPr>
          <w:rFonts w:ascii="Arial" w:eastAsiaTheme="minorHAnsi" w:hAnsi="Arial" w:cs="Arial"/>
          <w:lang w:eastAsia="en-US"/>
        </w:rPr>
      </w:pPr>
      <w:r w:rsidRPr="00F90E64">
        <w:rPr>
          <w:rFonts w:ascii="Arial" w:eastAsiaTheme="minorHAnsi" w:hAnsi="Arial" w:cs="Arial"/>
          <w:color w:val="000000"/>
          <w:lang w:eastAsia="en-US"/>
        </w:rPr>
        <w:t xml:space="preserve">Some students may decide to take a year away from their Medicine/Dentistry degree in </w:t>
      </w:r>
      <w:r w:rsidRPr="000F363B">
        <w:rPr>
          <w:rFonts w:ascii="Arial" w:eastAsiaTheme="minorHAnsi" w:hAnsi="Arial" w:cs="Arial"/>
          <w:lang w:eastAsia="en-US"/>
        </w:rPr>
        <w:t xml:space="preserve">order to follow a </w:t>
      </w:r>
      <w:r w:rsidR="00CC6FE2" w:rsidRPr="000F363B">
        <w:rPr>
          <w:rFonts w:ascii="Arial" w:eastAsiaTheme="minorHAnsi" w:hAnsi="Arial" w:cs="Arial"/>
          <w:lang w:eastAsia="en-US"/>
        </w:rPr>
        <w:t>one-year</w:t>
      </w:r>
      <w:r w:rsidRPr="000F363B">
        <w:rPr>
          <w:rFonts w:ascii="Arial" w:eastAsiaTheme="minorHAnsi" w:hAnsi="Arial" w:cs="Arial"/>
          <w:lang w:eastAsia="en-US"/>
        </w:rPr>
        <w:t xml:space="preserve"> intercalated degree. This normally takes place after third </w:t>
      </w:r>
      <w:r w:rsidR="00CC6FE2" w:rsidRPr="000F363B">
        <w:rPr>
          <w:rFonts w:ascii="Arial" w:eastAsiaTheme="minorHAnsi" w:hAnsi="Arial" w:cs="Arial"/>
          <w:lang w:eastAsia="en-US"/>
        </w:rPr>
        <w:t>year but</w:t>
      </w:r>
      <w:r w:rsidR="00170688" w:rsidRPr="000F363B">
        <w:rPr>
          <w:rFonts w:ascii="Arial" w:eastAsiaTheme="minorHAnsi" w:hAnsi="Arial" w:cs="Arial"/>
          <w:lang w:eastAsia="en-US"/>
        </w:rPr>
        <w:t xml:space="preserve"> can take place after year four</w:t>
      </w:r>
      <w:r w:rsidRPr="000F363B">
        <w:rPr>
          <w:rFonts w:ascii="Arial" w:eastAsiaTheme="minorHAnsi" w:hAnsi="Arial" w:cs="Arial"/>
          <w:lang w:eastAsia="en-US"/>
        </w:rPr>
        <w:t>.</w:t>
      </w:r>
      <w:r w:rsidR="00170688" w:rsidRPr="000F363B">
        <w:rPr>
          <w:rFonts w:ascii="Arial" w:eastAsiaTheme="minorHAnsi" w:hAnsi="Arial" w:cs="Arial"/>
          <w:lang w:eastAsia="en-US"/>
        </w:rPr>
        <w:t xml:space="preserve"> </w:t>
      </w:r>
      <w:r w:rsidRPr="000F363B">
        <w:rPr>
          <w:rFonts w:ascii="Arial" w:eastAsiaTheme="minorHAnsi" w:hAnsi="Arial" w:cs="Arial"/>
          <w:lang w:eastAsia="en-US"/>
        </w:rPr>
        <w:t xml:space="preserve"> During this optional intercalated year, a student may have their standard funding continued</w:t>
      </w:r>
      <w:r w:rsidR="00C25246">
        <w:rPr>
          <w:rFonts w:ascii="Arial" w:eastAsiaTheme="minorHAnsi" w:hAnsi="Arial" w:cs="Arial"/>
          <w:lang w:eastAsia="en-US"/>
        </w:rPr>
        <w:t>,</w:t>
      </w:r>
      <w:r w:rsidR="00170688" w:rsidRPr="000F363B">
        <w:rPr>
          <w:rFonts w:ascii="Arial" w:eastAsiaTheme="minorHAnsi" w:hAnsi="Arial" w:cs="Arial"/>
          <w:lang w:eastAsia="en-US"/>
        </w:rPr>
        <w:t xml:space="preserve"> they may receive a Department of Health</w:t>
      </w:r>
      <w:r w:rsidR="00BC5BE4">
        <w:rPr>
          <w:rFonts w:ascii="Arial" w:eastAsiaTheme="minorHAnsi" w:hAnsi="Arial" w:cs="Arial"/>
          <w:lang w:eastAsia="en-US"/>
        </w:rPr>
        <w:t xml:space="preserve"> NI</w:t>
      </w:r>
      <w:r w:rsidR="00170688" w:rsidRPr="000F363B">
        <w:rPr>
          <w:rFonts w:ascii="Arial" w:eastAsiaTheme="minorHAnsi" w:hAnsi="Arial" w:cs="Arial"/>
          <w:lang w:eastAsia="en-US"/>
        </w:rPr>
        <w:t xml:space="preserve"> (DoH) bursary</w:t>
      </w:r>
      <w:r w:rsidR="00C25246">
        <w:rPr>
          <w:rFonts w:ascii="Arial" w:eastAsiaTheme="minorHAnsi" w:hAnsi="Arial" w:cs="Arial"/>
          <w:lang w:eastAsia="en-US"/>
        </w:rPr>
        <w:t>, they may receive</w:t>
      </w:r>
      <w:r w:rsidR="00170688" w:rsidRPr="000F363B">
        <w:rPr>
          <w:rFonts w:ascii="Arial" w:eastAsiaTheme="minorHAnsi" w:hAnsi="Arial" w:cs="Arial"/>
          <w:lang w:eastAsia="en-US"/>
        </w:rPr>
        <w:t xml:space="preserve"> a Postgraduate Tuition Fee Loan</w:t>
      </w:r>
      <w:r w:rsidR="00C25246">
        <w:rPr>
          <w:rFonts w:ascii="Arial" w:eastAsiaTheme="minorHAnsi" w:hAnsi="Arial" w:cs="Arial"/>
          <w:lang w:eastAsia="en-US"/>
        </w:rPr>
        <w:t>,</w:t>
      </w:r>
      <w:r w:rsidRPr="000F363B">
        <w:rPr>
          <w:rFonts w:ascii="Arial" w:eastAsiaTheme="minorHAnsi" w:hAnsi="Arial" w:cs="Arial"/>
          <w:lang w:eastAsia="en-US"/>
        </w:rPr>
        <w:t xml:space="preserve"> or the</w:t>
      </w:r>
      <w:r w:rsidR="009377E9" w:rsidRPr="000F363B">
        <w:rPr>
          <w:rFonts w:ascii="Arial" w:eastAsiaTheme="minorHAnsi" w:hAnsi="Arial" w:cs="Arial"/>
          <w:lang w:eastAsia="en-US"/>
        </w:rPr>
        <w:t>y may receive no funding at all. The</w:t>
      </w:r>
      <w:r w:rsidRPr="000F363B">
        <w:rPr>
          <w:rFonts w:ascii="Arial" w:eastAsiaTheme="minorHAnsi" w:hAnsi="Arial" w:cs="Arial"/>
          <w:lang w:eastAsia="en-US"/>
        </w:rPr>
        <w:t xml:space="preserve"> </w:t>
      </w:r>
      <w:r w:rsidR="009377E9" w:rsidRPr="000F363B">
        <w:rPr>
          <w:rFonts w:ascii="Arial" w:eastAsiaTheme="minorHAnsi" w:hAnsi="Arial" w:cs="Arial"/>
          <w:lang w:eastAsia="en-US"/>
        </w:rPr>
        <w:t xml:space="preserve">outcome </w:t>
      </w:r>
      <w:r w:rsidRPr="000F363B">
        <w:rPr>
          <w:rFonts w:ascii="Arial" w:eastAsiaTheme="minorHAnsi" w:hAnsi="Arial" w:cs="Arial"/>
          <w:lang w:eastAsia="en-US"/>
        </w:rPr>
        <w:t>depend</w:t>
      </w:r>
      <w:r w:rsidR="009377E9" w:rsidRPr="000F363B">
        <w:rPr>
          <w:rFonts w:ascii="Arial" w:eastAsiaTheme="minorHAnsi" w:hAnsi="Arial" w:cs="Arial"/>
          <w:lang w:eastAsia="en-US"/>
        </w:rPr>
        <w:t>s</w:t>
      </w:r>
      <w:r w:rsidRPr="000F363B">
        <w:rPr>
          <w:rFonts w:ascii="Arial" w:eastAsiaTheme="minorHAnsi" w:hAnsi="Arial" w:cs="Arial"/>
          <w:lang w:eastAsia="en-US"/>
        </w:rPr>
        <w:t xml:space="preserve"> on the type of course followed</w:t>
      </w:r>
      <w:r w:rsidR="00170688" w:rsidRPr="000F363B">
        <w:rPr>
          <w:rFonts w:ascii="Arial" w:eastAsiaTheme="minorHAnsi" w:hAnsi="Arial" w:cs="Arial"/>
          <w:lang w:eastAsia="en-US"/>
        </w:rPr>
        <w:t xml:space="preserve"> </w:t>
      </w:r>
      <w:r w:rsidR="00903D7F" w:rsidRPr="000F363B">
        <w:rPr>
          <w:rFonts w:ascii="Arial" w:eastAsiaTheme="minorHAnsi" w:hAnsi="Arial" w:cs="Arial"/>
          <w:lang w:eastAsia="en-US"/>
        </w:rPr>
        <w:t>and Institution attended</w:t>
      </w:r>
      <w:r w:rsidRPr="000F363B">
        <w:rPr>
          <w:rFonts w:ascii="Arial" w:eastAsiaTheme="minorHAnsi" w:hAnsi="Arial" w:cs="Arial"/>
          <w:lang w:eastAsia="en-US"/>
        </w:rPr>
        <w:t>.</w:t>
      </w:r>
    </w:p>
    <w:p w14:paraId="37A80712" w14:textId="77777777" w:rsidR="00903D7F" w:rsidRPr="00FA5BFC" w:rsidRDefault="00903D7F" w:rsidP="00FA5BFC">
      <w:pPr>
        <w:pStyle w:val="Heading2"/>
      </w:pPr>
      <w:r w:rsidRPr="00FA5BFC">
        <w:t>After 3</w:t>
      </w:r>
      <w:r w:rsidRPr="00FA5BFC">
        <w:rPr>
          <w:vertAlign w:val="superscript"/>
        </w:rPr>
        <w:t>rd</w:t>
      </w:r>
      <w:r w:rsidRPr="00FA5BFC">
        <w:t xml:space="preserve"> year</w:t>
      </w:r>
    </w:p>
    <w:p w14:paraId="38EF26E9" w14:textId="3EAAD0EB" w:rsidR="00DB209B" w:rsidRPr="00DB209B" w:rsidRDefault="00F90E64" w:rsidP="00FA5BF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 w:line="240" w:lineRule="auto"/>
        <w:ind w:left="357" w:hanging="357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DB209B">
        <w:rPr>
          <w:rFonts w:ascii="Arial" w:hAnsi="Arial" w:cs="Arial"/>
          <w:b/>
          <w:bCs/>
          <w:color w:val="000000"/>
          <w:sz w:val="24"/>
          <w:szCs w:val="24"/>
        </w:rPr>
        <w:t xml:space="preserve">Undergraduate degree. </w:t>
      </w:r>
      <w:r w:rsidRPr="00DB209B">
        <w:rPr>
          <w:rFonts w:ascii="Arial" w:hAnsi="Arial" w:cs="Arial"/>
          <w:color w:val="000000"/>
          <w:sz w:val="24"/>
          <w:szCs w:val="24"/>
        </w:rPr>
        <w:t xml:space="preserve">If a student decides to follow an intercalated </w:t>
      </w:r>
      <w:r w:rsidR="000F6963" w:rsidRPr="00DB209B">
        <w:rPr>
          <w:rFonts w:ascii="Arial" w:hAnsi="Arial" w:cs="Arial"/>
          <w:color w:val="000000"/>
          <w:sz w:val="24"/>
          <w:szCs w:val="24"/>
        </w:rPr>
        <w:t>one-year</w:t>
      </w:r>
      <w:r w:rsidRPr="00DB209B">
        <w:rPr>
          <w:rFonts w:ascii="Arial" w:hAnsi="Arial" w:cs="Arial"/>
          <w:color w:val="000000"/>
          <w:sz w:val="24"/>
          <w:szCs w:val="24"/>
        </w:rPr>
        <w:t xml:space="preserve"> </w:t>
      </w:r>
      <w:r w:rsidRPr="00781FC3">
        <w:rPr>
          <w:rFonts w:ascii="Arial" w:hAnsi="Arial" w:cs="Arial"/>
          <w:color w:val="000000"/>
          <w:sz w:val="24"/>
          <w:szCs w:val="24"/>
        </w:rPr>
        <w:t>undergraduate</w:t>
      </w:r>
      <w:r w:rsidRPr="00DB209B">
        <w:rPr>
          <w:rFonts w:ascii="Arial" w:hAnsi="Arial" w:cs="Arial"/>
          <w:color w:val="000000"/>
          <w:sz w:val="24"/>
          <w:szCs w:val="24"/>
        </w:rPr>
        <w:t xml:space="preserve"> degree</w:t>
      </w:r>
      <w:r w:rsidR="009377E9">
        <w:rPr>
          <w:rFonts w:ascii="Arial" w:hAnsi="Arial" w:cs="Arial"/>
          <w:color w:val="000000"/>
          <w:sz w:val="24"/>
          <w:szCs w:val="24"/>
        </w:rPr>
        <w:t>,</w:t>
      </w:r>
      <w:r w:rsidRPr="00DB209B">
        <w:rPr>
          <w:rFonts w:ascii="Arial" w:hAnsi="Arial" w:cs="Arial"/>
          <w:color w:val="000000"/>
          <w:sz w:val="24"/>
          <w:szCs w:val="24"/>
        </w:rPr>
        <w:t xml:space="preserve"> </w:t>
      </w:r>
      <w:r w:rsidR="000F6963" w:rsidRPr="00DB209B">
        <w:rPr>
          <w:rFonts w:ascii="Arial" w:hAnsi="Arial" w:cs="Arial"/>
          <w:color w:val="000000"/>
          <w:sz w:val="24"/>
          <w:szCs w:val="24"/>
        </w:rPr>
        <w:t>e</w:t>
      </w:r>
      <w:r w:rsidR="000F6963">
        <w:rPr>
          <w:rFonts w:ascii="Arial" w:hAnsi="Arial" w:cs="Arial"/>
          <w:color w:val="000000"/>
          <w:sz w:val="24"/>
          <w:szCs w:val="24"/>
        </w:rPr>
        <w:t>.g.</w:t>
      </w:r>
      <w:r w:rsidR="00535EC2" w:rsidRPr="000F363B">
        <w:rPr>
          <w:rFonts w:ascii="Arial" w:hAnsi="Arial" w:cs="Arial"/>
          <w:sz w:val="24"/>
          <w:szCs w:val="24"/>
        </w:rPr>
        <w:t xml:space="preserve"> </w:t>
      </w:r>
      <w:r w:rsidRPr="00DB209B">
        <w:rPr>
          <w:rFonts w:ascii="Arial" w:hAnsi="Arial" w:cs="Arial"/>
          <w:color w:val="000000"/>
          <w:sz w:val="24"/>
          <w:szCs w:val="24"/>
        </w:rPr>
        <w:t xml:space="preserve">BSc Pharmacy, they will continue to receive the same type of student finance for the intercalated year that they received during the first three years </w:t>
      </w:r>
      <w:r w:rsidR="000F6963" w:rsidRPr="00DB209B">
        <w:rPr>
          <w:rFonts w:ascii="Arial" w:hAnsi="Arial" w:cs="Arial"/>
          <w:color w:val="000000"/>
          <w:sz w:val="24"/>
          <w:szCs w:val="24"/>
        </w:rPr>
        <w:t>i</w:t>
      </w:r>
      <w:r w:rsidR="000F6963">
        <w:rPr>
          <w:rFonts w:ascii="Arial" w:hAnsi="Arial" w:cs="Arial"/>
          <w:color w:val="000000"/>
          <w:sz w:val="24"/>
          <w:szCs w:val="24"/>
        </w:rPr>
        <w:t>.e.</w:t>
      </w:r>
      <w:r w:rsidR="00062245">
        <w:rPr>
          <w:rFonts w:ascii="Arial" w:hAnsi="Arial" w:cs="Arial"/>
          <w:color w:val="000000"/>
          <w:sz w:val="24"/>
          <w:szCs w:val="24"/>
        </w:rPr>
        <w:t xml:space="preserve"> </w:t>
      </w:r>
      <w:r w:rsidR="00026D4D">
        <w:rPr>
          <w:rFonts w:ascii="Arial" w:hAnsi="Arial" w:cs="Arial"/>
          <w:color w:val="000000"/>
          <w:sz w:val="24"/>
          <w:szCs w:val="24"/>
        </w:rPr>
        <w:t>Tuition Fee Loan and means-tested Maintenance L</w:t>
      </w:r>
      <w:r w:rsidRPr="00DB209B">
        <w:rPr>
          <w:rFonts w:ascii="Arial" w:hAnsi="Arial" w:cs="Arial"/>
          <w:color w:val="000000"/>
          <w:sz w:val="24"/>
          <w:szCs w:val="24"/>
        </w:rPr>
        <w:t>oan</w:t>
      </w:r>
      <w:r w:rsidR="00026D4D">
        <w:rPr>
          <w:rFonts w:ascii="Arial" w:hAnsi="Arial" w:cs="Arial"/>
          <w:color w:val="000000"/>
          <w:sz w:val="24"/>
          <w:szCs w:val="24"/>
        </w:rPr>
        <w:t xml:space="preserve"> and G</w:t>
      </w:r>
      <w:r w:rsidR="001606D8">
        <w:rPr>
          <w:rFonts w:ascii="Arial" w:hAnsi="Arial" w:cs="Arial"/>
          <w:color w:val="000000"/>
          <w:sz w:val="24"/>
          <w:szCs w:val="24"/>
        </w:rPr>
        <w:t>rant</w:t>
      </w:r>
      <w:r w:rsidRPr="00DB209B">
        <w:rPr>
          <w:rFonts w:ascii="Arial" w:hAnsi="Arial" w:cs="Arial"/>
          <w:color w:val="000000"/>
          <w:sz w:val="24"/>
          <w:szCs w:val="24"/>
        </w:rPr>
        <w:t>. They will not be elig</w:t>
      </w:r>
      <w:r w:rsidR="00DB209B" w:rsidRPr="00DB209B">
        <w:rPr>
          <w:rFonts w:ascii="Arial" w:hAnsi="Arial" w:cs="Arial"/>
          <w:color w:val="000000"/>
          <w:sz w:val="24"/>
          <w:szCs w:val="24"/>
        </w:rPr>
        <w:t>ible for any travel expenses.</w:t>
      </w:r>
    </w:p>
    <w:p w14:paraId="2CACD004" w14:textId="48350C93" w:rsidR="00903D7F" w:rsidRPr="000F363B" w:rsidRDefault="00DB209B" w:rsidP="00FA5BF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 w:line="24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0F363B">
        <w:rPr>
          <w:rFonts w:ascii="Arial" w:hAnsi="Arial" w:cs="Arial"/>
          <w:b/>
          <w:sz w:val="24"/>
          <w:szCs w:val="24"/>
        </w:rPr>
        <w:t>P</w:t>
      </w:r>
      <w:r w:rsidR="00F90E64" w:rsidRPr="000F363B">
        <w:rPr>
          <w:rFonts w:ascii="Arial" w:hAnsi="Arial" w:cs="Arial"/>
          <w:b/>
          <w:bCs/>
          <w:sz w:val="24"/>
          <w:szCs w:val="24"/>
        </w:rPr>
        <w:t xml:space="preserve">ostgraduate degree. </w:t>
      </w:r>
      <w:r w:rsidR="00F90E64" w:rsidRPr="000F363B">
        <w:rPr>
          <w:rFonts w:ascii="Arial" w:hAnsi="Arial" w:cs="Arial"/>
          <w:sz w:val="24"/>
          <w:szCs w:val="24"/>
        </w:rPr>
        <w:t xml:space="preserve">If a student decides to follow a </w:t>
      </w:r>
      <w:r w:rsidR="00CC6FE2" w:rsidRPr="000F363B">
        <w:rPr>
          <w:rFonts w:ascii="Arial" w:hAnsi="Arial" w:cs="Arial"/>
          <w:sz w:val="24"/>
          <w:szCs w:val="24"/>
        </w:rPr>
        <w:t>one-year</w:t>
      </w:r>
      <w:r w:rsidR="00F90E64" w:rsidRPr="000F363B">
        <w:rPr>
          <w:rFonts w:ascii="Arial" w:hAnsi="Arial" w:cs="Arial"/>
          <w:sz w:val="24"/>
          <w:szCs w:val="24"/>
        </w:rPr>
        <w:t xml:space="preserve"> </w:t>
      </w:r>
      <w:r w:rsidR="00F90E64" w:rsidRPr="008857F5">
        <w:rPr>
          <w:rFonts w:ascii="Arial" w:hAnsi="Arial" w:cs="Arial"/>
          <w:sz w:val="24"/>
          <w:szCs w:val="24"/>
        </w:rPr>
        <w:t>postgraduate</w:t>
      </w:r>
      <w:r w:rsidR="00F90E64" w:rsidRPr="000F363B">
        <w:rPr>
          <w:rFonts w:ascii="Arial" w:hAnsi="Arial" w:cs="Arial"/>
          <w:sz w:val="24"/>
          <w:szCs w:val="24"/>
        </w:rPr>
        <w:t xml:space="preserve"> course during the intercalated year </w:t>
      </w:r>
      <w:r w:rsidR="008857F5" w:rsidRPr="000F363B">
        <w:rPr>
          <w:rFonts w:ascii="Arial" w:hAnsi="Arial" w:cs="Arial"/>
          <w:sz w:val="24"/>
          <w:szCs w:val="24"/>
        </w:rPr>
        <w:t>e.g.</w:t>
      </w:r>
      <w:r w:rsidR="00535EC2" w:rsidRPr="00535EC2">
        <w:rPr>
          <w:rFonts w:ascii="Arial" w:hAnsi="Arial" w:cs="Arial"/>
          <w:color w:val="FF0000"/>
          <w:sz w:val="24"/>
          <w:szCs w:val="24"/>
        </w:rPr>
        <w:t xml:space="preserve"> </w:t>
      </w:r>
      <w:r w:rsidR="00F90E64" w:rsidRPr="000F363B">
        <w:rPr>
          <w:rFonts w:ascii="Arial" w:hAnsi="Arial" w:cs="Arial"/>
          <w:sz w:val="24"/>
          <w:szCs w:val="24"/>
        </w:rPr>
        <w:t>MPH (</w:t>
      </w:r>
      <w:r w:rsidR="008857F5">
        <w:rPr>
          <w:rFonts w:ascii="Arial" w:hAnsi="Arial" w:cs="Arial"/>
          <w:sz w:val="24"/>
          <w:szCs w:val="24"/>
        </w:rPr>
        <w:t>M</w:t>
      </w:r>
      <w:r w:rsidR="008857F5" w:rsidRPr="000F363B">
        <w:rPr>
          <w:rFonts w:ascii="Arial" w:hAnsi="Arial" w:cs="Arial"/>
          <w:sz w:val="24"/>
          <w:szCs w:val="24"/>
        </w:rPr>
        <w:t xml:space="preserve">aster’s in </w:t>
      </w:r>
      <w:r w:rsidR="008857F5">
        <w:rPr>
          <w:rFonts w:ascii="Arial" w:hAnsi="Arial" w:cs="Arial"/>
          <w:sz w:val="24"/>
          <w:szCs w:val="24"/>
        </w:rPr>
        <w:t>P</w:t>
      </w:r>
      <w:r w:rsidR="008857F5" w:rsidRPr="000F363B">
        <w:rPr>
          <w:rFonts w:ascii="Arial" w:hAnsi="Arial" w:cs="Arial"/>
          <w:sz w:val="24"/>
          <w:szCs w:val="24"/>
        </w:rPr>
        <w:t xml:space="preserve">ublic </w:t>
      </w:r>
      <w:r w:rsidR="008857F5">
        <w:rPr>
          <w:rFonts w:ascii="Arial" w:hAnsi="Arial" w:cs="Arial"/>
          <w:sz w:val="24"/>
          <w:szCs w:val="24"/>
        </w:rPr>
        <w:t>H</w:t>
      </w:r>
      <w:r w:rsidR="008857F5" w:rsidRPr="000F363B">
        <w:rPr>
          <w:rFonts w:ascii="Arial" w:hAnsi="Arial" w:cs="Arial"/>
          <w:sz w:val="24"/>
          <w:szCs w:val="24"/>
        </w:rPr>
        <w:t>ealth</w:t>
      </w:r>
      <w:r w:rsidR="00F90E64" w:rsidRPr="000F363B">
        <w:rPr>
          <w:rFonts w:ascii="Arial" w:hAnsi="Arial" w:cs="Arial"/>
          <w:sz w:val="24"/>
          <w:szCs w:val="24"/>
        </w:rPr>
        <w:t xml:space="preserve">) they </w:t>
      </w:r>
      <w:r w:rsidR="00F90E64" w:rsidRPr="000F363B">
        <w:rPr>
          <w:rFonts w:ascii="Arial" w:hAnsi="Arial" w:cs="Arial"/>
          <w:bCs/>
          <w:sz w:val="24"/>
          <w:szCs w:val="24"/>
        </w:rPr>
        <w:t xml:space="preserve">will not </w:t>
      </w:r>
      <w:r w:rsidR="00F90E64" w:rsidRPr="000F363B">
        <w:rPr>
          <w:rFonts w:ascii="Arial" w:hAnsi="Arial" w:cs="Arial"/>
          <w:sz w:val="24"/>
          <w:szCs w:val="24"/>
        </w:rPr>
        <w:t xml:space="preserve">be eligible for any </w:t>
      </w:r>
      <w:r w:rsidR="00903D7F" w:rsidRPr="000F363B">
        <w:rPr>
          <w:rFonts w:ascii="Arial" w:hAnsi="Arial" w:cs="Arial"/>
          <w:sz w:val="24"/>
          <w:szCs w:val="24"/>
        </w:rPr>
        <w:t>undergraduate or DoH bursary</w:t>
      </w:r>
      <w:r w:rsidR="00BC5BE4">
        <w:rPr>
          <w:rFonts w:ascii="Arial" w:hAnsi="Arial" w:cs="Arial"/>
          <w:sz w:val="24"/>
          <w:szCs w:val="24"/>
        </w:rPr>
        <w:t xml:space="preserve"> during that year</w:t>
      </w:r>
      <w:r w:rsidR="00903D7F" w:rsidRPr="000F363B">
        <w:rPr>
          <w:rFonts w:ascii="Arial" w:hAnsi="Arial" w:cs="Arial"/>
          <w:sz w:val="24"/>
          <w:szCs w:val="24"/>
        </w:rPr>
        <w:t>. However</w:t>
      </w:r>
      <w:r w:rsidR="00BC5BE4">
        <w:rPr>
          <w:rFonts w:ascii="Arial" w:hAnsi="Arial" w:cs="Arial"/>
          <w:sz w:val="24"/>
          <w:szCs w:val="24"/>
        </w:rPr>
        <w:t xml:space="preserve">, </w:t>
      </w:r>
      <w:r w:rsidR="00903D7F" w:rsidRPr="000F363B">
        <w:rPr>
          <w:rFonts w:ascii="Arial" w:hAnsi="Arial" w:cs="Arial"/>
          <w:sz w:val="24"/>
          <w:szCs w:val="24"/>
        </w:rPr>
        <w:t xml:space="preserve">a Postgraduate </w:t>
      </w:r>
      <w:r w:rsidR="00903D7F" w:rsidRPr="000F363B">
        <w:rPr>
          <w:rFonts w:ascii="Arial" w:hAnsi="Arial" w:cs="Arial"/>
          <w:b/>
          <w:sz w:val="24"/>
          <w:szCs w:val="24"/>
        </w:rPr>
        <w:t>Tuition Fee Loan</w:t>
      </w:r>
      <w:r w:rsidR="00903D7F" w:rsidRPr="000F363B">
        <w:rPr>
          <w:rFonts w:ascii="Arial" w:hAnsi="Arial" w:cs="Arial"/>
          <w:sz w:val="24"/>
          <w:szCs w:val="24"/>
        </w:rPr>
        <w:t xml:space="preserve"> </w:t>
      </w:r>
      <w:r w:rsidR="00BC5BE4">
        <w:rPr>
          <w:rFonts w:ascii="Arial" w:hAnsi="Arial" w:cs="Arial"/>
          <w:sz w:val="24"/>
          <w:szCs w:val="24"/>
        </w:rPr>
        <w:t>is</w:t>
      </w:r>
      <w:r w:rsidR="00903D7F" w:rsidRPr="000F363B">
        <w:rPr>
          <w:rFonts w:ascii="Arial" w:hAnsi="Arial" w:cs="Arial"/>
          <w:sz w:val="24"/>
          <w:szCs w:val="24"/>
        </w:rPr>
        <w:t xml:space="preserve"> available for the following</w:t>
      </w:r>
      <w:r w:rsidR="009377E9" w:rsidRPr="000F363B">
        <w:rPr>
          <w:rFonts w:ascii="Arial" w:hAnsi="Arial" w:cs="Arial"/>
          <w:sz w:val="24"/>
          <w:szCs w:val="24"/>
        </w:rPr>
        <w:t xml:space="preserve"> postgraduate (Level 7) courses</w:t>
      </w:r>
      <w:r w:rsidR="00D92D9D">
        <w:rPr>
          <w:rFonts w:ascii="Arial" w:hAnsi="Arial" w:cs="Arial"/>
          <w:sz w:val="24"/>
          <w:szCs w:val="24"/>
        </w:rPr>
        <w:t xml:space="preserve"> </w:t>
      </w:r>
      <w:r w:rsidR="00D92D9D" w:rsidRPr="000F363B">
        <w:rPr>
          <w:rFonts w:ascii="Arial" w:hAnsi="Arial" w:cs="Arial"/>
          <w:sz w:val="24"/>
          <w:szCs w:val="24"/>
        </w:rPr>
        <w:t xml:space="preserve">at </w:t>
      </w:r>
      <w:r w:rsidR="00D92D9D" w:rsidRPr="000F363B">
        <w:rPr>
          <w:rFonts w:ascii="Arial" w:hAnsi="Arial" w:cs="Arial"/>
          <w:b/>
          <w:sz w:val="24"/>
          <w:szCs w:val="24"/>
        </w:rPr>
        <w:t>UK</w:t>
      </w:r>
      <w:r w:rsidR="00D92D9D" w:rsidRPr="000F363B">
        <w:rPr>
          <w:rFonts w:ascii="Arial" w:hAnsi="Arial" w:cs="Arial"/>
          <w:sz w:val="24"/>
          <w:szCs w:val="24"/>
        </w:rPr>
        <w:t xml:space="preserve"> </w:t>
      </w:r>
      <w:r w:rsidR="00535EC2">
        <w:rPr>
          <w:rFonts w:ascii="Arial" w:hAnsi="Arial" w:cs="Arial"/>
          <w:sz w:val="24"/>
          <w:szCs w:val="24"/>
        </w:rPr>
        <w:t xml:space="preserve">and </w:t>
      </w:r>
      <w:r w:rsidR="00535EC2" w:rsidRPr="006F2712">
        <w:rPr>
          <w:rFonts w:ascii="Arial" w:hAnsi="Arial" w:cs="Arial"/>
          <w:b/>
          <w:bCs/>
          <w:sz w:val="24"/>
          <w:szCs w:val="24"/>
        </w:rPr>
        <w:t>designated ROI</w:t>
      </w:r>
      <w:r w:rsidR="00535EC2" w:rsidRPr="006F2712">
        <w:rPr>
          <w:rFonts w:ascii="Arial" w:hAnsi="Arial" w:cs="Arial"/>
          <w:sz w:val="24"/>
          <w:szCs w:val="24"/>
        </w:rPr>
        <w:t xml:space="preserve"> </w:t>
      </w:r>
      <w:r w:rsidR="00D92D9D" w:rsidRPr="000F363B">
        <w:rPr>
          <w:rFonts w:ascii="Arial" w:hAnsi="Arial" w:cs="Arial"/>
          <w:b/>
          <w:sz w:val="24"/>
          <w:szCs w:val="24"/>
        </w:rPr>
        <w:t>Institutions</w:t>
      </w:r>
      <w:r w:rsidR="00D92D9D" w:rsidRPr="000F363B">
        <w:rPr>
          <w:rFonts w:ascii="Arial" w:hAnsi="Arial" w:cs="Arial"/>
          <w:sz w:val="24"/>
          <w:szCs w:val="24"/>
        </w:rPr>
        <w:t xml:space="preserve"> only</w:t>
      </w:r>
      <w:r w:rsidR="00903D7F" w:rsidRPr="000F363B">
        <w:rPr>
          <w:rFonts w:ascii="Arial" w:hAnsi="Arial" w:cs="Arial"/>
          <w:sz w:val="24"/>
          <w:szCs w:val="24"/>
        </w:rPr>
        <w:t>:</w:t>
      </w:r>
    </w:p>
    <w:p w14:paraId="473526F4" w14:textId="0374F163" w:rsidR="00903D7F" w:rsidRPr="000F363B" w:rsidRDefault="00903D7F" w:rsidP="00FA5BFC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F363B">
        <w:rPr>
          <w:rFonts w:ascii="Arial" w:hAnsi="Arial" w:cs="Arial"/>
          <w:sz w:val="24"/>
          <w:szCs w:val="24"/>
        </w:rPr>
        <w:t>Postgraduate Master’s courses</w:t>
      </w:r>
      <w:r w:rsidR="008857F5">
        <w:rPr>
          <w:rFonts w:ascii="Arial" w:hAnsi="Arial" w:cs="Arial"/>
          <w:sz w:val="24"/>
          <w:szCs w:val="24"/>
        </w:rPr>
        <w:t>,</w:t>
      </w:r>
    </w:p>
    <w:p w14:paraId="5D2432C9" w14:textId="656C67A5" w:rsidR="00903D7F" w:rsidRPr="000F363B" w:rsidRDefault="00903D7F" w:rsidP="005A501E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F363B">
        <w:rPr>
          <w:rFonts w:ascii="Arial" w:hAnsi="Arial" w:cs="Arial"/>
          <w:sz w:val="24"/>
          <w:szCs w:val="24"/>
        </w:rPr>
        <w:t>Postgraduate Diplomas</w:t>
      </w:r>
      <w:r w:rsidR="008857F5">
        <w:rPr>
          <w:rFonts w:ascii="Arial" w:hAnsi="Arial" w:cs="Arial"/>
          <w:sz w:val="24"/>
          <w:szCs w:val="24"/>
        </w:rPr>
        <w:t>,</w:t>
      </w:r>
    </w:p>
    <w:p w14:paraId="50BD222F" w14:textId="77777777" w:rsidR="00903D7F" w:rsidRPr="000F363B" w:rsidRDefault="00903D7F" w:rsidP="00FA5BFC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240" w:line="240" w:lineRule="auto"/>
        <w:ind w:left="1077" w:hanging="357"/>
        <w:rPr>
          <w:rFonts w:ascii="Arial" w:hAnsi="Arial" w:cs="Arial"/>
          <w:sz w:val="24"/>
          <w:szCs w:val="24"/>
        </w:rPr>
      </w:pPr>
      <w:r w:rsidRPr="000F363B">
        <w:rPr>
          <w:rFonts w:ascii="Arial" w:hAnsi="Arial" w:cs="Arial"/>
          <w:sz w:val="24"/>
          <w:szCs w:val="24"/>
        </w:rPr>
        <w:t>Postgraduate Certificates.</w:t>
      </w:r>
    </w:p>
    <w:p w14:paraId="1ABFF814" w14:textId="3F853853" w:rsidR="00DB209B" w:rsidRPr="000F363B" w:rsidRDefault="00F90E64" w:rsidP="00FA5BFC">
      <w:pPr>
        <w:autoSpaceDE w:val="0"/>
        <w:autoSpaceDN w:val="0"/>
        <w:adjustRightInd w:val="0"/>
        <w:spacing w:after="120"/>
        <w:rPr>
          <w:rFonts w:ascii="Arial" w:eastAsiaTheme="minorHAnsi" w:hAnsi="Arial" w:cs="Arial"/>
          <w:lang w:eastAsia="en-US"/>
        </w:rPr>
      </w:pPr>
      <w:r w:rsidRPr="000F363B">
        <w:rPr>
          <w:rFonts w:ascii="Arial" w:eastAsiaTheme="minorHAnsi" w:hAnsi="Arial" w:cs="Arial"/>
          <w:lang w:eastAsia="en-US"/>
        </w:rPr>
        <w:t xml:space="preserve">After the intercalated course has been completed students will normally progress on to year four of </w:t>
      </w:r>
      <w:r w:rsidR="009377E9" w:rsidRPr="000F363B">
        <w:rPr>
          <w:rFonts w:ascii="Arial" w:eastAsiaTheme="minorHAnsi" w:hAnsi="Arial" w:cs="Arial"/>
          <w:lang w:eastAsia="en-US"/>
        </w:rPr>
        <w:t>their</w:t>
      </w:r>
      <w:r w:rsidRPr="000F363B">
        <w:rPr>
          <w:rFonts w:ascii="Arial" w:eastAsiaTheme="minorHAnsi" w:hAnsi="Arial" w:cs="Arial"/>
          <w:lang w:eastAsia="en-US"/>
        </w:rPr>
        <w:t xml:space="preserve"> </w:t>
      </w:r>
      <w:r w:rsidR="009377E9" w:rsidRPr="000F363B">
        <w:rPr>
          <w:rFonts w:ascii="Arial" w:eastAsiaTheme="minorHAnsi" w:hAnsi="Arial" w:cs="Arial"/>
          <w:lang w:eastAsia="en-US"/>
        </w:rPr>
        <w:t>degree</w:t>
      </w:r>
      <w:r w:rsidRPr="000F363B">
        <w:rPr>
          <w:rFonts w:ascii="Arial" w:eastAsiaTheme="minorHAnsi" w:hAnsi="Arial" w:cs="Arial"/>
          <w:lang w:eastAsia="en-US"/>
        </w:rPr>
        <w:t>.</w:t>
      </w:r>
    </w:p>
    <w:p w14:paraId="0770E8D2" w14:textId="7F9388C0" w:rsidR="001C1ADE" w:rsidRDefault="00F90E64" w:rsidP="00FA5BFC">
      <w:pPr>
        <w:autoSpaceDE w:val="0"/>
        <w:autoSpaceDN w:val="0"/>
        <w:adjustRightInd w:val="0"/>
        <w:spacing w:after="240"/>
        <w:rPr>
          <w:rFonts w:ascii="Arial" w:eastAsiaTheme="minorHAnsi" w:hAnsi="Arial" w:cs="Arial"/>
          <w:color w:val="000000"/>
          <w:lang w:eastAsia="en-US"/>
        </w:rPr>
      </w:pPr>
      <w:r w:rsidRPr="000F363B">
        <w:rPr>
          <w:rFonts w:ascii="Arial" w:eastAsiaTheme="minorHAnsi" w:hAnsi="Arial" w:cs="Arial"/>
          <w:lang w:eastAsia="en-US"/>
        </w:rPr>
        <w:t>Stu</w:t>
      </w:r>
      <w:r w:rsidR="00952371" w:rsidRPr="000F363B">
        <w:rPr>
          <w:rFonts w:ascii="Arial" w:eastAsiaTheme="minorHAnsi" w:hAnsi="Arial" w:cs="Arial"/>
          <w:lang w:eastAsia="en-US"/>
        </w:rPr>
        <w:t>dents on year four of a</w:t>
      </w:r>
      <w:r w:rsidR="00535EC2" w:rsidRPr="00F90E64">
        <w:rPr>
          <w:rFonts w:ascii="Arial" w:eastAsiaTheme="minorHAnsi" w:hAnsi="Arial" w:cs="Arial"/>
          <w:color w:val="000000"/>
          <w:lang w:eastAsia="en-US"/>
        </w:rPr>
        <w:t xml:space="preserve"> </w:t>
      </w:r>
      <w:r w:rsidR="00535EC2" w:rsidRPr="006F2712">
        <w:rPr>
          <w:rFonts w:ascii="Arial" w:eastAsiaTheme="minorHAnsi" w:hAnsi="Arial" w:cs="Arial"/>
          <w:lang w:eastAsia="en-US"/>
        </w:rPr>
        <w:t xml:space="preserve">Medical/Dental </w:t>
      </w:r>
      <w:r w:rsidRPr="000F363B">
        <w:rPr>
          <w:rFonts w:ascii="Arial" w:eastAsiaTheme="minorHAnsi" w:hAnsi="Arial" w:cs="Arial"/>
          <w:lang w:eastAsia="en-US"/>
        </w:rPr>
        <w:t>degree are usually eligible for the same type of sup</w:t>
      </w:r>
      <w:r w:rsidR="00BC5BE4">
        <w:rPr>
          <w:rFonts w:ascii="Arial" w:eastAsiaTheme="minorHAnsi" w:hAnsi="Arial" w:cs="Arial"/>
          <w:lang w:eastAsia="en-US"/>
        </w:rPr>
        <w:t>port as in the first three year</w:t>
      </w:r>
      <w:r w:rsidR="001606D8">
        <w:rPr>
          <w:rFonts w:ascii="Arial" w:eastAsiaTheme="minorHAnsi" w:hAnsi="Arial" w:cs="Arial"/>
          <w:lang w:eastAsia="en-US"/>
        </w:rPr>
        <w:t>s</w:t>
      </w:r>
      <w:r w:rsidR="00BC5BE4">
        <w:rPr>
          <w:rFonts w:ascii="Arial" w:eastAsiaTheme="minorHAnsi" w:hAnsi="Arial" w:cs="Arial"/>
          <w:lang w:eastAsia="en-US"/>
        </w:rPr>
        <w:t>. I</w:t>
      </w:r>
      <w:r w:rsidRPr="000F363B">
        <w:rPr>
          <w:rFonts w:ascii="Arial" w:eastAsiaTheme="minorHAnsi" w:hAnsi="Arial" w:cs="Arial"/>
          <w:lang w:eastAsia="en-US"/>
        </w:rPr>
        <w:t xml:space="preserve">f </w:t>
      </w:r>
      <w:r w:rsidR="00BC5BE4">
        <w:rPr>
          <w:rFonts w:ascii="Arial" w:eastAsiaTheme="minorHAnsi" w:hAnsi="Arial" w:cs="Arial"/>
          <w:lang w:eastAsia="en-US"/>
        </w:rPr>
        <w:t>students</w:t>
      </w:r>
      <w:r w:rsidRPr="000F363B">
        <w:rPr>
          <w:rFonts w:ascii="Arial" w:eastAsiaTheme="minorHAnsi" w:hAnsi="Arial" w:cs="Arial"/>
          <w:lang w:eastAsia="en-US"/>
        </w:rPr>
        <w:t xml:space="preserve"> have completed an intercalated course (whether undergraduate or postgraduate), funding for years four and five of the</w:t>
      </w:r>
      <w:r w:rsidR="00BC5BE4">
        <w:rPr>
          <w:rFonts w:ascii="Arial" w:eastAsiaTheme="minorHAnsi" w:hAnsi="Arial" w:cs="Arial"/>
          <w:lang w:eastAsia="en-US"/>
        </w:rPr>
        <w:t xml:space="preserve">ir </w:t>
      </w:r>
      <w:r w:rsidR="00535EC2" w:rsidRPr="006F2712">
        <w:rPr>
          <w:rFonts w:ascii="Arial" w:eastAsiaTheme="minorHAnsi" w:hAnsi="Arial" w:cs="Arial"/>
          <w:lang w:eastAsia="en-US"/>
        </w:rPr>
        <w:t xml:space="preserve">Medicine/Dentistry </w:t>
      </w:r>
      <w:r w:rsidR="00BC5BE4">
        <w:rPr>
          <w:rFonts w:ascii="Arial" w:eastAsiaTheme="minorHAnsi" w:hAnsi="Arial" w:cs="Arial"/>
          <w:lang w:eastAsia="en-US"/>
        </w:rPr>
        <w:t xml:space="preserve">degree </w:t>
      </w:r>
      <w:r w:rsidRPr="00F90E64">
        <w:rPr>
          <w:rFonts w:ascii="Arial" w:eastAsiaTheme="minorHAnsi" w:hAnsi="Arial" w:cs="Arial"/>
          <w:color w:val="000000"/>
          <w:lang w:eastAsia="en-US"/>
        </w:rPr>
        <w:t xml:space="preserve">will be provided by the </w:t>
      </w:r>
      <w:r w:rsidR="00952371">
        <w:rPr>
          <w:rFonts w:ascii="Arial" w:eastAsiaTheme="minorHAnsi" w:hAnsi="Arial" w:cs="Arial"/>
          <w:color w:val="000000"/>
          <w:lang w:eastAsia="en-US"/>
        </w:rPr>
        <w:t>DoH</w:t>
      </w:r>
      <w:r w:rsidRPr="00F90E64">
        <w:rPr>
          <w:rFonts w:ascii="Arial" w:eastAsiaTheme="minorHAnsi" w:hAnsi="Arial" w:cs="Arial"/>
          <w:color w:val="000000"/>
          <w:lang w:eastAsia="en-US"/>
        </w:rPr>
        <w:t>.</w:t>
      </w:r>
    </w:p>
    <w:p w14:paraId="5524A4EB" w14:textId="79D7A402" w:rsidR="00FA5BFC" w:rsidRDefault="00FA5BFC">
      <w:pPr>
        <w:spacing w:after="200" w:line="276" w:lineRule="auto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br w:type="page"/>
      </w:r>
    </w:p>
    <w:p w14:paraId="3201B96F" w14:textId="77777777" w:rsidR="00952371" w:rsidRPr="00903D7F" w:rsidRDefault="00952371" w:rsidP="00FA5BFC">
      <w:pPr>
        <w:pStyle w:val="Heading2"/>
      </w:pPr>
      <w:r w:rsidRPr="00903D7F">
        <w:lastRenderedPageBreak/>
        <w:t xml:space="preserve">After </w:t>
      </w:r>
      <w:r>
        <w:t>4</w:t>
      </w:r>
      <w:r w:rsidRPr="00952371">
        <w:rPr>
          <w:vertAlign w:val="superscript"/>
        </w:rPr>
        <w:t>th</w:t>
      </w:r>
      <w:r>
        <w:t xml:space="preserve"> </w:t>
      </w:r>
      <w:r w:rsidRPr="00903D7F">
        <w:t>year</w:t>
      </w:r>
    </w:p>
    <w:p w14:paraId="65A783D9" w14:textId="3D5FD9C7" w:rsidR="00952371" w:rsidRDefault="00952371" w:rsidP="00FA5BF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 w:line="24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DB209B">
        <w:rPr>
          <w:rFonts w:ascii="Arial" w:hAnsi="Arial" w:cs="Arial"/>
          <w:b/>
          <w:bCs/>
          <w:color w:val="000000"/>
          <w:sz w:val="24"/>
          <w:szCs w:val="24"/>
        </w:rPr>
        <w:t xml:space="preserve">Undergraduate degree. </w:t>
      </w:r>
      <w:r w:rsidRPr="00DB209B">
        <w:rPr>
          <w:rFonts w:ascii="Arial" w:hAnsi="Arial" w:cs="Arial"/>
          <w:color w:val="000000"/>
          <w:sz w:val="24"/>
          <w:szCs w:val="24"/>
        </w:rPr>
        <w:t xml:space="preserve">If a student decides to follow an intercalated </w:t>
      </w:r>
      <w:r w:rsidR="00FA5BFC" w:rsidRPr="00DB209B">
        <w:rPr>
          <w:rFonts w:ascii="Arial" w:hAnsi="Arial" w:cs="Arial"/>
          <w:color w:val="000000"/>
          <w:sz w:val="24"/>
          <w:szCs w:val="24"/>
        </w:rPr>
        <w:t>one-year</w:t>
      </w:r>
      <w:r w:rsidRPr="00DB209B">
        <w:rPr>
          <w:rFonts w:ascii="Arial" w:hAnsi="Arial" w:cs="Arial"/>
          <w:color w:val="000000"/>
          <w:sz w:val="24"/>
          <w:szCs w:val="24"/>
        </w:rPr>
        <w:t xml:space="preserve"> </w:t>
      </w:r>
      <w:r w:rsidRPr="00781FC3">
        <w:rPr>
          <w:rFonts w:ascii="Arial" w:hAnsi="Arial" w:cs="Arial"/>
          <w:color w:val="000000"/>
          <w:sz w:val="24"/>
          <w:szCs w:val="24"/>
        </w:rPr>
        <w:t>u</w:t>
      </w:r>
      <w:r w:rsidRPr="00781FC3">
        <w:rPr>
          <w:rFonts w:ascii="Arial" w:hAnsi="Arial" w:cs="Arial"/>
          <w:sz w:val="24"/>
          <w:szCs w:val="24"/>
        </w:rPr>
        <w:t>ndergraduate</w:t>
      </w:r>
      <w:r w:rsidRPr="000F363B">
        <w:rPr>
          <w:rFonts w:ascii="Arial" w:hAnsi="Arial" w:cs="Arial"/>
          <w:sz w:val="24"/>
          <w:szCs w:val="24"/>
        </w:rPr>
        <w:t xml:space="preserve"> degree</w:t>
      </w:r>
      <w:r w:rsidR="009377E9" w:rsidRPr="000F363B">
        <w:rPr>
          <w:rFonts w:ascii="Arial" w:hAnsi="Arial" w:cs="Arial"/>
          <w:sz w:val="24"/>
          <w:szCs w:val="24"/>
        </w:rPr>
        <w:t>,</w:t>
      </w:r>
      <w:r w:rsidRPr="000F363B">
        <w:rPr>
          <w:rFonts w:ascii="Arial" w:hAnsi="Arial" w:cs="Arial"/>
          <w:sz w:val="24"/>
          <w:szCs w:val="24"/>
        </w:rPr>
        <w:t xml:space="preserve"> </w:t>
      </w:r>
      <w:r w:rsidR="00FA5BFC" w:rsidRPr="000F363B">
        <w:rPr>
          <w:rFonts w:ascii="Arial" w:hAnsi="Arial" w:cs="Arial"/>
          <w:sz w:val="24"/>
          <w:szCs w:val="24"/>
        </w:rPr>
        <w:t>e.g.</w:t>
      </w:r>
      <w:r w:rsidRPr="000F363B">
        <w:rPr>
          <w:rFonts w:ascii="Arial" w:hAnsi="Arial" w:cs="Arial"/>
          <w:sz w:val="24"/>
          <w:szCs w:val="24"/>
        </w:rPr>
        <w:t xml:space="preserve"> BSc Pharmacy, after year four of the </w:t>
      </w:r>
      <w:r w:rsidR="00535EC2" w:rsidRPr="006F2712">
        <w:rPr>
          <w:rFonts w:ascii="Arial" w:hAnsi="Arial" w:cs="Arial"/>
          <w:sz w:val="24"/>
          <w:szCs w:val="24"/>
        </w:rPr>
        <w:t xml:space="preserve">Medical/Dental </w:t>
      </w:r>
      <w:r w:rsidRPr="000F363B">
        <w:rPr>
          <w:rFonts w:ascii="Arial" w:hAnsi="Arial" w:cs="Arial"/>
          <w:sz w:val="24"/>
          <w:szCs w:val="24"/>
        </w:rPr>
        <w:t>degree</w:t>
      </w:r>
      <w:r w:rsidR="00156009">
        <w:rPr>
          <w:rFonts w:ascii="Arial" w:hAnsi="Arial" w:cs="Arial"/>
          <w:sz w:val="24"/>
          <w:szCs w:val="24"/>
        </w:rPr>
        <w:t>,</w:t>
      </w:r>
      <w:r w:rsidRPr="000F363B">
        <w:rPr>
          <w:rFonts w:ascii="Arial" w:hAnsi="Arial" w:cs="Arial"/>
          <w:sz w:val="24"/>
          <w:szCs w:val="24"/>
        </w:rPr>
        <w:t xml:space="preserve"> they will be eligible for DoH funding for their intercalate</w:t>
      </w:r>
      <w:r w:rsidR="00080CC7" w:rsidRPr="000F363B">
        <w:rPr>
          <w:rFonts w:ascii="Arial" w:hAnsi="Arial" w:cs="Arial"/>
          <w:sz w:val="24"/>
          <w:szCs w:val="24"/>
        </w:rPr>
        <w:t>d</w:t>
      </w:r>
      <w:r w:rsidRPr="000F363B">
        <w:rPr>
          <w:rFonts w:ascii="Arial" w:hAnsi="Arial" w:cs="Arial"/>
          <w:sz w:val="24"/>
          <w:szCs w:val="24"/>
        </w:rPr>
        <w:t xml:space="preserve"> </w:t>
      </w:r>
      <w:r w:rsidR="000F6963" w:rsidRPr="000F363B">
        <w:rPr>
          <w:rFonts w:ascii="Arial" w:hAnsi="Arial" w:cs="Arial"/>
          <w:sz w:val="24"/>
          <w:szCs w:val="24"/>
        </w:rPr>
        <w:t>one-year</w:t>
      </w:r>
      <w:r w:rsidRPr="000F363B">
        <w:rPr>
          <w:rFonts w:ascii="Arial" w:hAnsi="Arial" w:cs="Arial"/>
          <w:sz w:val="24"/>
          <w:szCs w:val="24"/>
        </w:rPr>
        <w:t xml:space="preserve"> undergraduate degree </w:t>
      </w:r>
      <w:r w:rsidRPr="00C25246">
        <w:rPr>
          <w:rFonts w:ascii="Arial" w:hAnsi="Arial" w:cs="Arial"/>
          <w:b/>
          <w:bCs/>
          <w:sz w:val="24"/>
          <w:szCs w:val="24"/>
        </w:rPr>
        <w:t>and</w:t>
      </w:r>
      <w:r w:rsidRPr="000F363B">
        <w:rPr>
          <w:rFonts w:ascii="Arial" w:hAnsi="Arial" w:cs="Arial"/>
          <w:sz w:val="24"/>
          <w:szCs w:val="24"/>
        </w:rPr>
        <w:t xml:space="preserve"> for the fifth year of their degree in Medicine/Dentistry.</w:t>
      </w:r>
    </w:p>
    <w:p w14:paraId="404970D1" w14:textId="3A28E057" w:rsidR="00952371" w:rsidRPr="00107B6E" w:rsidRDefault="00952371" w:rsidP="00FA5BF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 w:line="240" w:lineRule="auto"/>
        <w:ind w:left="357" w:hanging="357"/>
        <w:rPr>
          <w:rFonts w:ascii="Arial" w:hAnsi="Arial" w:cs="Arial"/>
          <w:color w:val="000000"/>
        </w:rPr>
      </w:pPr>
      <w:r w:rsidRPr="000F363B">
        <w:rPr>
          <w:rFonts w:ascii="Arial" w:hAnsi="Arial" w:cs="Arial"/>
          <w:b/>
          <w:sz w:val="24"/>
          <w:szCs w:val="24"/>
        </w:rPr>
        <w:t>P</w:t>
      </w:r>
      <w:r w:rsidRPr="000F363B">
        <w:rPr>
          <w:rFonts w:ascii="Arial" w:hAnsi="Arial" w:cs="Arial"/>
          <w:b/>
          <w:bCs/>
          <w:sz w:val="24"/>
          <w:szCs w:val="24"/>
        </w:rPr>
        <w:t xml:space="preserve">ostgraduate degree. </w:t>
      </w:r>
      <w:r w:rsidRPr="000F363B">
        <w:rPr>
          <w:rFonts w:ascii="Arial" w:hAnsi="Arial" w:cs="Arial"/>
          <w:sz w:val="24"/>
          <w:szCs w:val="24"/>
        </w:rPr>
        <w:t xml:space="preserve">If a student decides to follow a </w:t>
      </w:r>
      <w:r w:rsidR="00FA5BFC" w:rsidRPr="000F363B">
        <w:rPr>
          <w:rFonts w:ascii="Arial" w:hAnsi="Arial" w:cs="Arial"/>
          <w:sz w:val="24"/>
          <w:szCs w:val="24"/>
        </w:rPr>
        <w:t>one-year</w:t>
      </w:r>
      <w:r w:rsidRPr="000F363B">
        <w:rPr>
          <w:rFonts w:ascii="Arial" w:hAnsi="Arial" w:cs="Arial"/>
          <w:sz w:val="24"/>
          <w:szCs w:val="24"/>
        </w:rPr>
        <w:t xml:space="preserve"> </w:t>
      </w:r>
      <w:r w:rsidRPr="000F6963">
        <w:rPr>
          <w:rFonts w:ascii="Arial" w:hAnsi="Arial" w:cs="Arial"/>
          <w:sz w:val="24"/>
          <w:szCs w:val="24"/>
        </w:rPr>
        <w:t>postgraduate</w:t>
      </w:r>
      <w:r w:rsidRPr="000F363B">
        <w:rPr>
          <w:rFonts w:ascii="Arial" w:hAnsi="Arial" w:cs="Arial"/>
          <w:sz w:val="24"/>
          <w:szCs w:val="24"/>
        </w:rPr>
        <w:t xml:space="preserve"> course during the </w:t>
      </w:r>
      <w:r w:rsidRPr="00107B6E">
        <w:rPr>
          <w:rFonts w:ascii="Arial" w:hAnsi="Arial" w:cs="Arial"/>
          <w:sz w:val="24"/>
          <w:szCs w:val="24"/>
        </w:rPr>
        <w:t xml:space="preserve">intercalated year </w:t>
      </w:r>
      <w:r w:rsidR="00FA5BFC" w:rsidRPr="00107B6E">
        <w:rPr>
          <w:rFonts w:ascii="Arial" w:hAnsi="Arial" w:cs="Arial"/>
          <w:sz w:val="24"/>
          <w:szCs w:val="24"/>
        </w:rPr>
        <w:t>e.g.,</w:t>
      </w:r>
      <w:r w:rsidRPr="00107B6E">
        <w:rPr>
          <w:rFonts w:ascii="Arial" w:hAnsi="Arial" w:cs="Arial"/>
          <w:sz w:val="24"/>
          <w:szCs w:val="24"/>
        </w:rPr>
        <w:t xml:space="preserve"> MPH (Master</w:t>
      </w:r>
      <w:r w:rsidR="00FA5BFC">
        <w:rPr>
          <w:rFonts w:ascii="Arial" w:hAnsi="Arial" w:cs="Arial"/>
          <w:sz w:val="24"/>
          <w:szCs w:val="24"/>
        </w:rPr>
        <w:t>’</w:t>
      </w:r>
      <w:r w:rsidRPr="00107B6E">
        <w:rPr>
          <w:rFonts w:ascii="Arial" w:hAnsi="Arial" w:cs="Arial"/>
          <w:sz w:val="24"/>
          <w:szCs w:val="24"/>
        </w:rPr>
        <w:t>s in Public Health)</w:t>
      </w:r>
      <w:r w:rsidR="001606D8" w:rsidRPr="00107B6E">
        <w:rPr>
          <w:rFonts w:ascii="Arial" w:hAnsi="Arial" w:cs="Arial"/>
          <w:sz w:val="24"/>
          <w:szCs w:val="24"/>
        </w:rPr>
        <w:t xml:space="preserve">, after year four of the </w:t>
      </w:r>
      <w:r w:rsidR="00535EC2" w:rsidRPr="006F2712">
        <w:rPr>
          <w:rFonts w:ascii="Arial" w:hAnsi="Arial" w:cs="Arial"/>
          <w:sz w:val="24"/>
          <w:szCs w:val="24"/>
        </w:rPr>
        <w:t xml:space="preserve">Medical/Dental </w:t>
      </w:r>
      <w:r w:rsidR="001606D8" w:rsidRPr="00107B6E">
        <w:rPr>
          <w:rFonts w:ascii="Arial" w:hAnsi="Arial" w:cs="Arial"/>
          <w:sz w:val="24"/>
          <w:szCs w:val="24"/>
        </w:rPr>
        <w:t>degree</w:t>
      </w:r>
      <w:r w:rsidR="00156009" w:rsidRPr="00107B6E">
        <w:rPr>
          <w:rFonts w:ascii="Arial" w:hAnsi="Arial" w:cs="Arial"/>
          <w:sz w:val="24"/>
          <w:szCs w:val="24"/>
        </w:rPr>
        <w:t>,</w:t>
      </w:r>
      <w:r w:rsidRPr="00107B6E">
        <w:rPr>
          <w:rFonts w:ascii="Arial" w:hAnsi="Arial" w:cs="Arial"/>
          <w:sz w:val="24"/>
          <w:szCs w:val="24"/>
        </w:rPr>
        <w:t xml:space="preserve"> they </w:t>
      </w:r>
      <w:r w:rsidRPr="00107B6E">
        <w:rPr>
          <w:rFonts w:ascii="Arial" w:hAnsi="Arial" w:cs="Arial"/>
          <w:bCs/>
          <w:sz w:val="24"/>
          <w:szCs w:val="24"/>
        </w:rPr>
        <w:t xml:space="preserve">will </w:t>
      </w:r>
      <w:r w:rsidR="00376C24" w:rsidRPr="00107B6E">
        <w:rPr>
          <w:rFonts w:ascii="Arial" w:hAnsi="Arial" w:cs="Arial"/>
          <w:bCs/>
          <w:sz w:val="24"/>
          <w:szCs w:val="24"/>
        </w:rPr>
        <w:t xml:space="preserve">be eligible for DoH funding for their intercalated </w:t>
      </w:r>
      <w:r w:rsidR="00FA5BFC" w:rsidRPr="00107B6E">
        <w:rPr>
          <w:rFonts w:ascii="Arial" w:hAnsi="Arial" w:cs="Arial"/>
          <w:bCs/>
          <w:sz w:val="24"/>
          <w:szCs w:val="24"/>
        </w:rPr>
        <w:t>one-year</w:t>
      </w:r>
      <w:r w:rsidR="00376C24" w:rsidRPr="00107B6E">
        <w:rPr>
          <w:rFonts w:ascii="Arial" w:hAnsi="Arial" w:cs="Arial"/>
          <w:bCs/>
          <w:sz w:val="24"/>
          <w:szCs w:val="24"/>
        </w:rPr>
        <w:t xml:space="preserve"> postgraduate degree </w:t>
      </w:r>
      <w:r w:rsidR="00376C24" w:rsidRPr="00C25246">
        <w:rPr>
          <w:rFonts w:ascii="Arial" w:hAnsi="Arial" w:cs="Arial"/>
          <w:b/>
          <w:sz w:val="24"/>
          <w:szCs w:val="24"/>
        </w:rPr>
        <w:t>and</w:t>
      </w:r>
      <w:r w:rsidR="00376C24" w:rsidRPr="00107B6E">
        <w:rPr>
          <w:rFonts w:ascii="Arial" w:hAnsi="Arial" w:cs="Arial"/>
          <w:bCs/>
          <w:sz w:val="24"/>
          <w:szCs w:val="24"/>
        </w:rPr>
        <w:t xml:space="preserve"> for the fifth year of their degree in Medicine/Dentistry.  If undertaking the PG degree at a NI </w:t>
      </w:r>
      <w:r w:rsidR="00474EEF" w:rsidRPr="00107B6E">
        <w:rPr>
          <w:rFonts w:ascii="Arial" w:hAnsi="Arial" w:cs="Arial"/>
          <w:bCs/>
          <w:sz w:val="24"/>
          <w:szCs w:val="24"/>
        </w:rPr>
        <w:t>University,</w:t>
      </w:r>
      <w:r w:rsidR="00376C24" w:rsidRPr="00107B6E">
        <w:rPr>
          <w:rFonts w:ascii="Arial" w:hAnsi="Arial" w:cs="Arial"/>
          <w:bCs/>
          <w:sz w:val="24"/>
          <w:szCs w:val="24"/>
        </w:rPr>
        <w:t xml:space="preserve"> the maximum Tu</w:t>
      </w:r>
      <w:r w:rsidR="00523656">
        <w:rPr>
          <w:rFonts w:ascii="Arial" w:hAnsi="Arial" w:cs="Arial"/>
          <w:bCs/>
          <w:sz w:val="24"/>
          <w:szCs w:val="24"/>
        </w:rPr>
        <w:t>ition Fee Loan</w:t>
      </w:r>
      <w:r w:rsidR="00AB4F1D">
        <w:rPr>
          <w:rFonts w:ascii="Arial" w:hAnsi="Arial" w:cs="Arial"/>
          <w:bCs/>
          <w:sz w:val="24"/>
          <w:szCs w:val="24"/>
        </w:rPr>
        <w:t xml:space="preserve"> available is </w:t>
      </w:r>
      <w:r w:rsidR="003E1029" w:rsidRPr="006F2712">
        <w:rPr>
          <w:rFonts w:ascii="Arial" w:hAnsi="Arial" w:cs="Arial"/>
          <w:bCs/>
          <w:sz w:val="24"/>
          <w:szCs w:val="24"/>
        </w:rPr>
        <w:t xml:space="preserve">£4855 </w:t>
      </w:r>
      <w:r w:rsidR="00376C24" w:rsidRPr="00107B6E">
        <w:rPr>
          <w:rFonts w:ascii="Arial" w:hAnsi="Arial" w:cs="Arial"/>
          <w:bCs/>
          <w:sz w:val="24"/>
          <w:szCs w:val="24"/>
        </w:rPr>
        <w:t xml:space="preserve">and if studying in GB the maximum Tuition Fee Loan available is </w:t>
      </w:r>
      <w:r w:rsidR="003E1029" w:rsidRPr="006F2712">
        <w:rPr>
          <w:rFonts w:ascii="Arial" w:hAnsi="Arial" w:cs="Arial"/>
          <w:bCs/>
          <w:sz w:val="24"/>
          <w:szCs w:val="24"/>
        </w:rPr>
        <w:t>£9535</w:t>
      </w:r>
      <w:r w:rsidR="00376C24" w:rsidRPr="00107B6E">
        <w:rPr>
          <w:rFonts w:ascii="Arial" w:hAnsi="Arial" w:cs="Arial"/>
          <w:bCs/>
          <w:sz w:val="24"/>
          <w:szCs w:val="24"/>
        </w:rPr>
        <w:t>.</w:t>
      </w:r>
    </w:p>
    <w:p w14:paraId="5C79DF23" w14:textId="658FF9E7" w:rsidR="00B4173F" w:rsidRDefault="00E23D38" w:rsidP="00FA5BFC">
      <w:pPr>
        <w:autoSpaceDE w:val="0"/>
        <w:autoSpaceDN w:val="0"/>
        <w:adjustRightInd w:val="0"/>
        <w:spacing w:after="360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 xml:space="preserve">When </w:t>
      </w:r>
      <w:r w:rsidR="00BC5BE4">
        <w:rPr>
          <w:rFonts w:ascii="Arial" w:eastAsiaTheme="minorHAnsi" w:hAnsi="Arial" w:cs="Arial"/>
          <w:color w:val="000000"/>
          <w:lang w:eastAsia="en-US"/>
        </w:rPr>
        <w:t xml:space="preserve">the student </w:t>
      </w:r>
      <w:r>
        <w:rPr>
          <w:rFonts w:ascii="Arial" w:eastAsiaTheme="minorHAnsi" w:hAnsi="Arial" w:cs="Arial"/>
          <w:color w:val="000000"/>
          <w:lang w:eastAsia="en-US"/>
        </w:rPr>
        <w:t>return</w:t>
      </w:r>
      <w:r w:rsidR="00BC5BE4">
        <w:rPr>
          <w:rFonts w:ascii="Arial" w:eastAsiaTheme="minorHAnsi" w:hAnsi="Arial" w:cs="Arial"/>
          <w:color w:val="000000"/>
          <w:lang w:eastAsia="en-US"/>
        </w:rPr>
        <w:t xml:space="preserve">s </w:t>
      </w:r>
      <w:r>
        <w:rPr>
          <w:rFonts w:ascii="Arial" w:eastAsiaTheme="minorHAnsi" w:hAnsi="Arial" w:cs="Arial"/>
          <w:color w:val="000000"/>
          <w:lang w:eastAsia="en-US"/>
        </w:rPr>
        <w:t>to</w:t>
      </w:r>
      <w:r w:rsidR="00BC5BE4">
        <w:rPr>
          <w:rFonts w:ascii="Arial" w:eastAsiaTheme="minorHAnsi" w:hAnsi="Arial" w:cs="Arial"/>
          <w:color w:val="000000"/>
          <w:lang w:eastAsia="en-US"/>
        </w:rPr>
        <w:t xml:space="preserve"> their</w:t>
      </w:r>
      <w:r>
        <w:rPr>
          <w:rFonts w:ascii="Arial" w:eastAsiaTheme="minorHAnsi" w:hAnsi="Arial" w:cs="Arial"/>
          <w:color w:val="000000"/>
          <w:lang w:eastAsia="en-US"/>
        </w:rPr>
        <w:t xml:space="preserve"> undergraduate </w:t>
      </w:r>
      <w:r w:rsidR="00535EC2" w:rsidRPr="00E70377">
        <w:rPr>
          <w:rFonts w:ascii="Arial" w:eastAsiaTheme="minorHAnsi" w:hAnsi="Arial" w:cs="Arial"/>
          <w:lang w:eastAsia="en-US"/>
        </w:rPr>
        <w:t xml:space="preserve">Medical/Dental </w:t>
      </w:r>
      <w:r w:rsidR="00BC5BE4">
        <w:rPr>
          <w:rFonts w:ascii="Arial" w:eastAsiaTheme="minorHAnsi" w:hAnsi="Arial" w:cs="Arial"/>
          <w:color w:val="000000"/>
          <w:lang w:eastAsia="en-US"/>
        </w:rPr>
        <w:t>degree they</w:t>
      </w:r>
      <w:r>
        <w:rPr>
          <w:rFonts w:ascii="Arial" w:eastAsiaTheme="minorHAnsi" w:hAnsi="Arial" w:cs="Arial"/>
          <w:color w:val="000000"/>
          <w:lang w:eastAsia="en-US"/>
        </w:rPr>
        <w:t xml:space="preserve"> will be eligible to receive DoH funding</w:t>
      </w:r>
      <w:r w:rsidR="00BC5BE4">
        <w:rPr>
          <w:rFonts w:ascii="Arial" w:eastAsiaTheme="minorHAnsi" w:hAnsi="Arial" w:cs="Arial"/>
          <w:color w:val="000000"/>
          <w:lang w:eastAsia="en-US"/>
        </w:rPr>
        <w:t xml:space="preserve"> in year 5</w:t>
      </w:r>
      <w:r>
        <w:rPr>
          <w:rFonts w:ascii="Arial" w:eastAsiaTheme="minorHAnsi" w:hAnsi="Arial" w:cs="Arial"/>
          <w:color w:val="000000"/>
          <w:lang w:eastAsia="en-US"/>
        </w:rPr>
        <w:t>.</w:t>
      </w:r>
    </w:p>
    <w:p w14:paraId="3F35BF8E" w14:textId="77777777" w:rsidR="001C1ADE" w:rsidRPr="001C1ADE" w:rsidRDefault="009377E9" w:rsidP="00FA5BFC">
      <w:pPr>
        <w:pStyle w:val="Heading1"/>
      </w:pPr>
      <w:r>
        <w:t>Department of Health</w:t>
      </w:r>
      <w:r w:rsidR="00156009">
        <w:t xml:space="preserve"> NI</w:t>
      </w:r>
      <w:r>
        <w:t xml:space="preserve"> (DoH)</w:t>
      </w:r>
      <w:r w:rsidR="00F90E64" w:rsidRPr="00F90E64">
        <w:t xml:space="preserve"> Bursaries </w:t>
      </w:r>
    </w:p>
    <w:p w14:paraId="54C21C3F" w14:textId="4BD474E2" w:rsidR="001C1ADE" w:rsidRDefault="00F90E64" w:rsidP="000F696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rPr>
          <w:rFonts w:ascii="Arial" w:hAnsi="Arial" w:cs="Arial"/>
          <w:color w:val="000000"/>
          <w:sz w:val="24"/>
        </w:rPr>
      </w:pPr>
      <w:r w:rsidRPr="001C1ADE">
        <w:rPr>
          <w:rFonts w:ascii="Arial" w:hAnsi="Arial" w:cs="Arial"/>
          <w:color w:val="000000"/>
          <w:sz w:val="24"/>
        </w:rPr>
        <w:t xml:space="preserve">In Northern </w:t>
      </w:r>
      <w:r w:rsidR="00CC6FE2" w:rsidRPr="001C1ADE">
        <w:rPr>
          <w:rFonts w:ascii="Arial" w:hAnsi="Arial" w:cs="Arial"/>
          <w:color w:val="000000"/>
          <w:sz w:val="24"/>
        </w:rPr>
        <w:t>Irel</w:t>
      </w:r>
      <w:r w:rsidR="00CC6FE2" w:rsidRPr="000F363B">
        <w:rPr>
          <w:rFonts w:ascii="Arial" w:hAnsi="Arial" w:cs="Arial"/>
          <w:sz w:val="24"/>
        </w:rPr>
        <w:t>and,</w:t>
      </w:r>
      <w:r w:rsidRPr="000F363B">
        <w:rPr>
          <w:rFonts w:ascii="Arial" w:hAnsi="Arial" w:cs="Arial"/>
          <w:sz w:val="24"/>
        </w:rPr>
        <w:t xml:space="preserve"> the </w:t>
      </w:r>
      <w:r w:rsidR="009377E9" w:rsidRPr="000F363B">
        <w:rPr>
          <w:rFonts w:ascii="Arial" w:hAnsi="Arial" w:cs="Arial"/>
          <w:sz w:val="24"/>
        </w:rPr>
        <w:t>DoH</w:t>
      </w:r>
      <w:r w:rsidRPr="000F363B">
        <w:rPr>
          <w:rFonts w:ascii="Arial" w:hAnsi="Arial" w:cs="Arial"/>
          <w:sz w:val="24"/>
        </w:rPr>
        <w:t xml:space="preserve"> provi</w:t>
      </w:r>
      <w:r w:rsidRPr="001C1ADE">
        <w:rPr>
          <w:rFonts w:ascii="Arial" w:hAnsi="Arial" w:cs="Arial"/>
          <w:color w:val="000000"/>
          <w:sz w:val="24"/>
        </w:rPr>
        <w:t xml:space="preserve">des bursaries for eligible </w:t>
      </w:r>
      <w:r w:rsidR="00BC5BE4">
        <w:rPr>
          <w:rFonts w:ascii="Arial" w:hAnsi="Arial" w:cs="Arial"/>
          <w:color w:val="000000"/>
          <w:sz w:val="24"/>
        </w:rPr>
        <w:t>first primary degree st</w:t>
      </w:r>
      <w:r w:rsidRPr="001C1ADE">
        <w:rPr>
          <w:rFonts w:ascii="Arial" w:hAnsi="Arial" w:cs="Arial"/>
          <w:color w:val="000000"/>
          <w:sz w:val="24"/>
        </w:rPr>
        <w:t xml:space="preserve">udents of medicine and dentistry in their fifth and later years of study in the UK (years four and later after an intercalated degree). </w:t>
      </w:r>
      <w:r w:rsidR="00B47F96">
        <w:rPr>
          <w:rFonts w:ascii="Arial" w:hAnsi="Arial" w:cs="Arial"/>
          <w:color w:val="000000"/>
          <w:sz w:val="24"/>
        </w:rPr>
        <w:t xml:space="preserve"> </w:t>
      </w:r>
      <w:r w:rsidRPr="001C1ADE">
        <w:rPr>
          <w:rFonts w:ascii="Arial" w:hAnsi="Arial" w:cs="Arial"/>
          <w:color w:val="000000"/>
          <w:sz w:val="24"/>
        </w:rPr>
        <w:t>Student Finance</w:t>
      </w:r>
      <w:r w:rsidR="00156009">
        <w:rPr>
          <w:rFonts w:ascii="Arial" w:hAnsi="Arial" w:cs="Arial"/>
          <w:color w:val="000000"/>
          <w:sz w:val="24"/>
        </w:rPr>
        <w:t xml:space="preserve"> NI</w:t>
      </w:r>
      <w:r w:rsidRPr="001C1ADE">
        <w:rPr>
          <w:rFonts w:ascii="Arial" w:hAnsi="Arial" w:cs="Arial"/>
          <w:color w:val="000000"/>
          <w:sz w:val="24"/>
        </w:rPr>
        <w:t xml:space="preserve"> currently administers the arrangements for these bursa</w:t>
      </w:r>
      <w:r w:rsidR="001C1ADE" w:rsidRPr="001C1ADE">
        <w:rPr>
          <w:rFonts w:ascii="Arial" w:hAnsi="Arial" w:cs="Arial"/>
          <w:color w:val="000000"/>
          <w:sz w:val="24"/>
        </w:rPr>
        <w:t xml:space="preserve">ries on behalf of the </w:t>
      </w:r>
      <w:r w:rsidR="00B47F96">
        <w:rPr>
          <w:rFonts w:ascii="Arial" w:hAnsi="Arial" w:cs="Arial"/>
          <w:color w:val="000000"/>
          <w:sz w:val="24"/>
        </w:rPr>
        <w:t>DoH</w:t>
      </w:r>
      <w:r w:rsidR="001C1ADE" w:rsidRPr="001C1ADE">
        <w:rPr>
          <w:rFonts w:ascii="Arial" w:hAnsi="Arial" w:cs="Arial"/>
          <w:color w:val="000000"/>
          <w:sz w:val="24"/>
        </w:rPr>
        <w:t>.</w:t>
      </w:r>
    </w:p>
    <w:p w14:paraId="02821607" w14:textId="37169FDE" w:rsidR="00F90E64" w:rsidRDefault="00F90E64" w:rsidP="000F696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rPr>
          <w:rFonts w:ascii="Arial" w:hAnsi="Arial" w:cs="Arial"/>
          <w:color w:val="000000"/>
          <w:sz w:val="24"/>
        </w:rPr>
      </w:pPr>
      <w:r w:rsidRPr="001C1ADE">
        <w:rPr>
          <w:rFonts w:ascii="Arial" w:hAnsi="Arial" w:cs="Arial"/>
          <w:color w:val="000000"/>
          <w:sz w:val="24"/>
        </w:rPr>
        <w:t>The bursaries are income assessed and the amount paid depends on the level of household income. Students will also be eligible to apply for a re</w:t>
      </w:r>
      <w:r w:rsidR="00026D4D">
        <w:rPr>
          <w:rFonts w:ascii="Arial" w:hAnsi="Arial" w:cs="Arial"/>
          <w:color w:val="000000"/>
          <w:sz w:val="24"/>
        </w:rPr>
        <w:t>duced rate non-income assessed Maintenance L</w:t>
      </w:r>
      <w:r w:rsidRPr="001C1ADE">
        <w:rPr>
          <w:rFonts w:ascii="Arial" w:hAnsi="Arial" w:cs="Arial"/>
          <w:color w:val="000000"/>
          <w:sz w:val="24"/>
        </w:rPr>
        <w:t xml:space="preserve">oan. Tuition fees are paid in full by the </w:t>
      </w:r>
      <w:r w:rsidR="00B47F96">
        <w:rPr>
          <w:rFonts w:ascii="Arial" w:hAnsi="Arial" w:cs="Arial"/>
          <w:color w:val="000000"/>
          <w:sz w:val="24"/>
        </w:rPr>
        <w:t>DoH</w:t>
      </w:r>
      <w:r w:rsidRPr="001C1ADE">
        <w:rPr>
          <w:rFonts w:ascii="Arial" w:hAnsi="Arial" w:cs="Arial"/>
          <w:color w:val="000000"/>
          <w:sz w:val="24"/>
        </w:rPr>
        <w:t>.</w:t>
      </w:r>
    </w:p>
    <w:p w14:paraId="6629F4C6" w14:textId="5D0C304C" w:rsidR="00AA7A59" w:rsidRDefault="00AA7A59" w:rsidP="000F696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240" w:line="240" w:lineRule="auto"/>
        <w:ind w:left="357" w:hanging="357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The </w:t>
      </w:r>
      <w:r w:rsidR="00B47F96">
        <w:rPr>
          <w:rFonts w:ascii="Arial" w:hAnsi="Arial" w:cs="Arial"/>
          <w:color w:val="000000"/>
          <w:sz w:val="24"/>
        </w:rPr>
        <w:t>support</w:t>
      </w:r>
      <w:r>
        <w:rPr>
          <w:rFonts w:ascii="Arial" w:hAnsi="Arial" w:cs="Arial"/>
          <w:color w:val="000000"/>
          <w:sz w:val="24"/>
        </w:rPr>
        <w:t xml:space="preserve"> package </w:t>
      </w:r>
      <w:r w:rsidR="00B47F96">
        <w:rPr>
          <w:rFonts w:ascii="Arial" w:hAnsi="Arial" w:cs="Arial"/>
          <w:color w:val="000000"/>
          <w:sz w:val="24"/>
        </w:rPr>
        <w:t>from the DoH</w:t>
      </w:r>
      <w:r>
        <w:rPr>
          <w:rFonts w:ascii="Arial" w:hAnsi="Arial" w:cs="Arial"/>
          <w:color w:val="000000"/>
          <w:sz w:val="24"/>
        </w:rPr>
        <w:t xml:space="preserve"> is different to the package of support </w:t>
      </w:r>
      <w:r w:rsidR="00156009">
        <w:rPr>
          <w:rFonts w:ascii="Arial" w:hAnsi="Arial" w:cs="Arial"/>
          <w:color w:val="000000"/>
          <w:sz w:val="24"/>
        </w:rPr>
        <w:t xml:space="preserve">the student </w:t>
      </w:r>
      <w:r>
        <w:rPr>
          <w:rFonts w:ascii="Arial" w:hAnsi="Arial" w:cs="Arial"/>
          <w:color w:val="000000"/>
          <w:sz w:val="24"/>
        </w:rPr>
        <w:t xml:space="preserve">received in </w:t>
      </w:r>
      <w:r w:rsidR="00156009">
        <w:rPr>
          <w:rFonts w:ascii="Arial" w:hAnsi="Arial" w:cs="Arial"/>
          <w:color w:val="000000"/>
          <w:sz w:val="24"/>
        </w:rPr>
        <w:t xml:space="preserve">the </w:t>
      </w:r>
      <w:r>
        <w:rPr>
          <w:rFonts w:ascii="Arial" w:hAnsi="Arial" w:cs="Arial"/>
          <w:color w:val="000000"/>
          <w:sz w:val="24"/>
        </w:rPr>
        <w:t>previous years</w:t>
      </w:r>
      <w:r w:rsidR="00156009">
        <w:rPr>
          <w:rFonts w:ascii="Arial" w:hAnsi="Arial" w:cs="Arial"/>
          <w:color w:val="000000"/>
          <w:sz w:val="24"/>
        </w:rPr>
        <w:t xml:space="preserve"> of their</w:t>
      </w:r>
      <w:r w:rsidR="00535EC2" w:rsidRPr="00535EC2">
        <w:rPr>
          <w:rFonts w:ascii="Arial" w:hAnsi="Arial" w:cs="Arial"/>
          <w:color w:val="000000"/>
          <w:sz w:val="24"/>
          <w:szCs w:val="24"/>
        </w:rPr>
        <w:t xml:space="preserve"> </w:t>
      </w:r>
      <w:r w:rsidR="00535EC2" w:rsidRPr="00E70377">
        <w:rPr>
          <w:rFonts w:ascii="Arial" w:hAnsi="Arial" w:cs="Arial"/>
          <w:sz w:val="24"/>
          <w:szCs w:val="24"/>
        </w:rPr>
        <w:t xml:space="preserve">Medical/Dental </w:t>
      </w:r>
      <w:r w:rsidR="00156009">
        <w:rPr>
          <w:rFonts w:ascii="Arial" w:hAnsi="Arial" w:cs="Arial"/>
          <w:color w:val="000000"/>
          <w:sz w:val="24"/>
        </w:rPr>
        <w:t>degree</w:t>
      </w:r>
      <w:r>
        <w:rPr>
          <w:rFonts w:ascii="Arial" w:hAnsi="Arial" w:cs="Arial"/>
          <w:color w:val="000000"/>
          <w:sz w:val="24"/>
        </w:rPr>
        <w:t>.</w:t>
      </w:r>
    </w:p>
    <w:p w14:paraId="52291AF6" w14:textId="2A479B54" w:rsidR="00AA7A59" w:rsidRPr="00F90E64" w:rsidRDefault="00026D4D" w:rsidP="00AF1EB2">
      <w:pPr>
        <w:autoSpaceDE w:val="0"/>
        <w:autoSpaceDN w:val="0"/>
        <w:adjustRightInd w:val="0"/>
        <w:spacing w:after="240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>Illustration of Maintenance G</w:t>
      </w:r>
      <w:r w:rsidR="003A301A">
        <w:rPr>
          <w:rFonts w:ascii="Arial" w:eastAsiaTheme="minorHAnsi" w:hAnsi="Arial" w:cs="Arial"/>
          <w:color w:val="000000"/>
          <w:lang w:eastAsia="en-US"/>
        </w:rPr>
        <w:t>rants and L</w:t>
      </w:r>
      <w:r w:rsidR="00AA7A59" w:rsidRPr="00F90E64">
        <w:rPr>
          <w:rFonts w:ascii="Arial" w:eastAsiaTheme="minorHAnsi" w:hAnsi="Arial" w:cs="Arial"/>
          <w:color w:val="000000"/>
          <w:lang w:eastAsia="en-US"/>
        </w:rPr>
        <w:t>oan entitlement for a standard year is as follows: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843"/>
        <w:gridCol w:w="1843"/>
        <w:gridCol w:w="2126"/>
        <w:gridCol w:w="1770"/>
      </w:tblGrid>
      <w:tr w:rsidR="002702D7" w:rsidRPr="001A22AE" w14:paraId="44278892" w14:textId="77777777" w:rsidTr="00CB6AF0">
        <w:trPr>
          <w:jc w:val="center"/>
        </w:trPr>
        <w:tc>
          <w:tcPr>
            <w:tcW w:w="195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E79672A" w14:textId="77777777" w:rsidR="002702D7" w:rsidRPr="001A22AE" w:rsidRDefault="002702D7" w:rsidP="00CB6AF0">
            <w:pPr>
              <w:pStyle w:val="Numbered"/>
              <w:widowControl/>
              <w:spacing w:after="0"/>
              <w:jc w:val="center"/>
              <w:rPr>
                <w:b/>
                <w:sz w:val="20"/>
              </w:rPr>
            </w:pPr>
            <w:r w:rsidRPr="001A22AE">
              <w:rPr>
                <w:b/>
                <w:sz w:val="20"/>
              </w:rPr>
              <w:t>INCOME (£)</w:t>
            </w:r>
          </w:p>
          <w:p w14:paraId="22778349" w14:textId="77777777" w:rsidR="002702D7" w:rsidRPr="001A22AE" w:rsidRDefault="002702D7" w:rsidP="00CB6AF0">
            <w:pPr>
              <w:pStyle w:val="Numbered"/>
              <w:widowControl/>
              <w:spacing w:after="0"/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DF456DE" w14:textId="77777777" w:rsidR="002702D7" w:rsidRPr="001A22AE" w:rsidRDefault="002702D7" w:rsidP="00CB6AF0">
            <w:pPr>
              <w:pStyle w:val="Numbered"/>
              <w:widowControl/>
              <w:spacing w:after="0"/>
              <w:jc w:val="center"/>
              <w:rPr>
                <w:b/>
                <w:sz w:val="20"/>
              </w:rPr>
            </w:pPr>
            <w:r w:rsidRPr="001A22AE">
              <w:rPr>
                <w:b/>
                <w:sz w:val="20"/>
              </w:rPr>
              <w:t>ASSESSED CONTRIBUTION (£)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1B56A34" w14:textId="77777777" w:rsidR="002702D7" w:rsidRPr="001A22AE" w:rsidRDefault="002702D7" w:rsidP="00CB6AF0">
            <w:pPr>
              <w:pStyle w:val="Numbered"/>
              <w:widowControl/>
              <w:spacing w:after="0"/>
              <w:jc w:val="center"/>
              <w:rPr>
                <w:b/>
                <w:sz w:val="20"/>
              </w:rPr>
            </w:pPr>
            <w:r w:rsidRPr="001A22AE">
              <w:rPr>
                <w:b/>
                <w:sz w:val="20"/>
              </w:rPr>
              <w:t>MAINTENANCE GRANT (£)</w:t>
            </w:r>
          </w:p>
          <w:p w14:paraId="27B8016B" w14:textId="77777777" w:rsidR="002702D7" w:rsidRPr="001A22AE" w:rsidRDefault="002702D7" w:rsidP="00CB6AF0">
            <w:pPr>
              <w:pStyle w:val="Numbered"/>
              <w:widowControl/>
              <w:spacing w:after="0"/>
              <w:jc w:val="center"/>
              <w:rPr>
                <w:b/>
                <w:sz w:val="20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91B2603" w14:textId="77777777" w:rsidR="002702D7" w:rsidRPr="001A22AE" w:rsidRDefault="002702D7" w:rsidP="00CB6AF0">
            <w:pPr>
              <w:pStyle w:val="Numbered"/>
              <w:widowControl/>
              <w:spacing w:after="0"/>
              <w:jc w:val="center"/>
              <w:rPr>
                <w:b/>
                <w:sz w:val="20"/>
              </w:rPr>
            </w:pPr>
            <w:r w:rsidRPr="001A22AE">
              <w:rPr>
                <w:b/>
                <w:sz w:val="20"/>
              </w:rPr>
              <w:t>MAINTENANCE LOAN (£)</w:t>
            </w:r>
          </w:p>
        </w:tc>
        <w:tc>
          <w:tcPr>
            <w:tcW w:w="177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18E1E28" w14:textId="77777777" w:rsidR="002702D7" w:rsidRPr="001A22AE" w:rsidRDefault="002702D7" w:rsidP="00CB6AF0">
            <w:pPr>
              <w:pStyle w:val="Numbered"/>
              <w:widowControl/>
              <w:spacing w:after="0"/>
              <w:jc w:val="center"/>
              <w:rPr>
                <w:b/>
                <w:sz w:val="20"/>
              </w:rPr>
            </w:pPr>
            <w:r w:rsidRPr="001A22AE">
              <w:rPr>
                <w:b/>
                <w:sz w:val="20"/>
              </w:rPr>
              <w:t>TOTAL GRANT PLUS LOAN (£)</w:t>
            </w:r>
          </w:p>
        </w:tc>
      </w:tr>
      <w:tr w:rsidR="002702D7" w:rsidRPr="001A22AE" w14:paraId="7BAA9827" w14:textId="77777777" w:rsidTr="00CB6AF0">
        <w:trPr>
          <w:jc w:val="center"/>
        </w:trPr>
        <w:tc>
          <w:tcPr>
            <w:tcW w:w="195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BAF310B" w14:textId="77777777" w:rsidR="002702D7" w:rsidRPr="001A22AE" w:rsidRDefault="002702D7" w:rsidP="00CB6AF0">
            <w:pPr>
              <w:pStyle w:val="Numbered"/>
              <w:widowControl/>
              <w:spacing w:after="0"/>
              <w:jc w:val="center"/>
              <w:rPr>
                <w:b/>
                <w:sz w:val="20"/>
              </w:rPr>
            </w:pPr>
            <w:r w:rsidRPr="001A22AE">
              <w:rPr>
                <w:b/>
                <w:sz w:val="20"/>
              </w:rPr>
              <w:t>Student living at home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AF9366E" w14:textId="77777777" w:rsidR="002702D7" w:rsidRPr="001A22AE" w:rsidRDefault="002702D7" w:rsidP="00CB6AF0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5AA0615" w14:textId="77777777" w:rsidR="002702D7" w:rsidRPr="001A22AE" w:rsidRDefault="002702D7" w:rsidP="00CB6AF0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6B83196" w14:textId="7F9C7F83" w:rsidR="002702D7" w:rsidRPr="00FC1B62" w:rsidRDefault="002702D7" w:rsidP="00CB6AF0">
            <w:pPr>
              <w:pStyle w:val="Numbered"/>
              <w:widowControl/>
              <w:spacing w:after="0"/>
              <w:jc w:val="center"/>
              <w:rPr>
                <w:b/>
                <w:sz w:val="20"/>
              </w:rPr>
            </w:pPr>
            <w:r w:rsidRPr="00FC1B62">
              <w:rPr>
                <w:b/>
                <w:sz w:val="20"/>
              </w:rPr>
              <w:t xml:space="preserve">Maximum </w:t>
            </w:r>
            <w:r w:rsidR="00B25C83" w:rsidRPr="00FC1B62">
              <w:rPr>
                <w:b/>
                <w:sz w:val="20"/>
              </w:rPr>
              <w:t xml:space="preserve">£6,300 </w:t>
            </w:r>
            <w:r w:rsidRPr="00FC1B62">
              <w:rPr>
                <w:b/>
                <w:sz w:val="20"/>
              </w:rPr>
              <w:t>(*)</w:t>
            </w:r>
          </w:p>
        </w:tc>
        <w:tc>
          <w:tcPr>
            <w:tcW w:w="177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3533F28" w14:textId="77777777" w:rsidR="002702D7" w:rsidRPr="00FC1B62" w:rsidRDefault="002702D7" w:rsidP="00CB6AF0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</w:p>
        </w:tc>
      </w:tr>
      <w:tr w:rsidR="002702D7" w:rsidRPr="001A22AE" w14:paraId="0C019BCD" w14:textId="77777777" w:rsidTr="00CB6AF0">
        <w:trPr>
          <w:jc w:val="center"/>
        </w:trPr>
        <w:tc>
          <w:tcPr>
            <w:tcW w:w="195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BF9F7" w14:textId="77777777" w:rsidR="002702D7" w:rsidRPr="001A22AE" w:rsidRDefault="002702D7" w:rsidP="00CB6AF0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1A22AE">
              <w:rPr>
                <w:sz w:val="20"/>
              </w:rPr>
              <w:t>19,203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164DA" w14:textId="77777777" w:rsidR="002702D7" w:rsidRPr="001A22AE" w:rsidRDefault="002702D7" w:rsidP="00CB6AF0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1A22AE">
              <w:rPr>
                <w:sz w:val="20"/>
              </w:rPr>
              <w:t>0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6DD27" w14:textId="77777777" w:rsidR="002702D7" w:rsidRPr="001A22AE" w:rsidRDefault="002702D7" w:rsidP="00CB6AF0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1A22AE">
              <w:rPr>
                <w:sz w:val="20"/>
              </w:rPr>
              <w:t>3,475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F18D5" w14:textId="1D8B8304" w:rsidR="002702D7" w:rsidRPr="00FC1B62" w:rsidRDefault="00AB3D78" w:rsidP="00AB3D78">
            <w:pPr>
              <w:pStyle w:val="Numbered"/>
              <w:widowControl/>
              <w:tabs>
                <w:tab w:val="right" w:pos="1910"/>
              </w:tabs>
              <w:spacing w:after="0"/>
              <w:rPr>
                <w:strike/>
                <w:sz w:val="20"/>
              </w:rPr>
            </w:pPr>
            <w:r w:rsidRPr="00FC1B62">
              <w:rPr>
                <w:sz w:val="20"/>
              </w:rPr>
              <w:t xml:space="preserve">            </w:t>
            </w:r>
            <w:r w:rsidR="002B2DDB" w:rsidRPr="00FC1B62">
              <w:rPr>
                <w:sz w:val="20"/>
              </w:rPr>
              <w:t>4,450</w:t>
            </w:r>
            <w:r w:rsidRPr="00FC1B62">
              <w:rPr>
                <w:sz w:val="20"/>
              </w:rPr>
              <w:tab/>
            </w:r>
          </w:p>
        </w:tc>
        <w:tc>
          <w:tcPr>
            <w:tcW w:w="177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85A00" w14:textId="126071BC" w:rsidR="002702D7" w:rsidRPr="00FC1B62" w:rsidRDefault="002B2DDB" w:rsidP="00CB6AF0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7,925</w:t>
            </w:r>
          </w:p>
        </w:tc>
      </w:tr>
      <w:tr w:rsidR="002702D7" w:rsidRPr="001A22AE" w14:paraId="7C8F4123" w14:textId="77777777" w:rsidTr="00CB6AF0">
        <w:trPr>
          <w:jc w:val="center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2CD3B" w14:textId="77777777" w:rsidR="002702D7" w:rsidRPr="001A22AE" w:rsidRDefault="002702D7" w:rsidP="00CB6AF0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1A22AE">
              <w:rPr>
                <w:sz w:val="20"/>
              </w:rPr>
              <w:t>20,000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82E65" w14:textId="77777777" w:rsidR="002702D7" w:rsidRPr="001A22AE" w:rsidRDefault="002702D7" w:rsidP="00CB6AF0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1A22AE">
              <w:rPr>
                <w:sz w:val="20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8A9FD" w14:textId="77777777" w:rsidR="002702D7" w:rsidRPr="001A22AE" w:rsidRDefault="002702D7" w:rsidP="00CB6AF0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1A22AE">
              <w:rPr>
                <w:sz w:val="20"/>
              </w:rPr>
              <w:t>3,30</w:t>
            </w:r>
            <w:r>
              <w:rPr>
                <w:sz w:val="20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E2BD3" w14:textId="7F57A76A" w:rsidR="002702D7" w:rsidRPr="00FC1B62" w:rsidRDefault="002B2DDB" w:rsidP="002B2DDB">
            <w:pPr>
              <w:pStyle w:val="Numbered"/>
              <w:widowControl/>
              <w:spacing w:after="0"/>
              <w:jc w:val="center"/>
              <w:rPr>
                <w:strike/>
                <w:sz w:val="20"/>
              </w:rPr>
            </w:pPr>
            <w:r w:rsidRPr="00FC1B62">
              <w:rPr>
                <w:sz w:val="20"/>
              </w:rPr>
              <w:t xml:space="preserve"> 4,493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3FA1E" w14:textId="00E31D64" w:rsidR="002702D7" w:rsidRPr="00FC1B62" w:rsidRDefault="002B2DDB" w:rsidP="00CB6AF0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7,793</w:t>
            </w:r>
          </w:p>
        </w:tc>
      </w:tr>
      <w:tr w:rsidR="002702D7" w:rsidRPr="001A22AE" w14:paraId="51656FF0" w14:textId="77777777" w:rsidTr="00CB6AF0">
        <w:trPr>
          <w:jc w:val="center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2DFD1" w14:textId="77777777" w:rsidR="002702D7" w:rsidRPr="001A22AE" w:rsidRDefault="002702D7" w:rsidP="00CB6AF0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1A22AE">
              <w:rPr>
                <w:sz w:val="20"/>
              </w:rPr>
              <w:t>25,000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1165" w14:textId="77777777" w:rsidR="002702D7" w:rsidRPr="001A22AE" w:rsidRDefault="002702D7" w:rsidP="00CB6AF0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1A22AE">
              <w:rPr>
                <w:sz w:val="20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51992" w14:textId="77777777" w:rsidR="002702D7" w:rsidRPr="001A22AE" w:rsidRDefault="002702D7" w:rsidP="00CB6AF0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1A22AE">
              <w:rPr>
                <w:sz w:val="20"/>
              </w:rPr>
              <w:t>2,20</w:t>
            </w:r>
            <w:r>
              <w:rPr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2D3A1" w14:textId="6C513FF8" w:rsidR="002702D7" w:rsidRPr="00FC1B62" w:rsidRDefault="002B2DDB" w:rsidP="00CB6AF0">
            <w:pPr>
              <w:pStyle w:val="Numbered"/>
              <w:widowControl/>
              <w:spacing w:after="0"/>
              <w:jc w:val="center"/>
              <w:rPr>
                <w:strike/>
                <w:sz w:val="20"/>
              </w:rPr>
            </w:pPr>
            <w:r w:rsidRPr="00FC1B62">
              <w:rPr>
                <w:sz w:val="20"/>
              </w:rPr>
              <w:t xml:space="preserve"> 4,764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D7604" w14:textId="2FAE5652" w:rsidR="002702D7" w:rsidRPr="00FC1B62" w:rsidRDefault="002B2DDB" w:rsidP="002B2DDB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6,965</w:t>
            </w:r>
          </w:p>
        </w:tc>
      </w:tr>
      <w:tr w:rsidR="002702D7" w:rsidRPr="001A22AE" w14:paraId="14E2E7BF" w14:textId="77777777" w:rsidTr="00CB6AF0">
        <w:trPr>
          <w:jc w:val="center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42706" w14:textId="77777777" w:rsidR="002702D7" w:rsidRPr="001A22AE" w:rsidRDefault="002702D7" w:rsidP="00CB6AF0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1A22AE">
              <w:rPr>
                <w:sz w:val="20"/>
              </w:rPr>
              <w:t>29,019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9ED0A" w14:textId="77777777" w:rsidR="002702D7" w:rsidRPr="001A22AE" w:rsidRDefault="002702D7" w:rsidP="00CB6AF0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1A22AE">
              <w:rPr>
                <w:sz w:val="20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78CFF" w14:textId="77777777" w:rsidR="002702D7" w:rsidRPr="001A22AE" w:rsidRDefault="002702D7" w:rsidP="00CB6AF0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1A22AE">
              <w:rPr>
                <w:sz w:val="20"/>
              </w:rPr>
              <w:t>1,318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8EFD9" w14:textId="577CEAAC" w:rsidR="002702D7" w:rsidRPr="00FC1B62" w:rsidRDefault="002B2DDB" w:rsidP="002B2DDB">
            <w:pPr>
              <w:pStyle w:val="Numbered"/>
              <w:widowControl/>
              <w:spacing w:after="0"/>
              <w:jc w:val="center"/>
              <w:rPr>
                <w:strike/>
                <w:sz w:val="20"/>
              </w:rPr>
            </w:pPr>
            <w:r w:rsidRPr="00FC1B62">
              <w:rPr>
                <w:sz w:val="20"/>
              </w:rPr>
              <w:t xml:space="preserve"> 4,982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6302D" w14:textId="6E6233EB" w:rsidR="002702D7" w:rsidRPr="00FC1B62" w:rsidRDefault="002B2DDB" w:rsidP="00CB6AF0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6,300</w:t>
            </w:r>
          </w:p>
        </w:tc>
      </w:tr>
      <w:tr w:rsidR="002702D7" w:rsidRPr="001A22AE" w14:paraId="7F7CD220" w14:textId="77777777" w:rsidTr="00CB6AF0">
        <w:trPr>
          <w:jc w:val="center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431B" w14:textId="77777777" w:rsidR="002702D7" w:rsidRPr="001A22AE" w:rsidRDefault="002702D7" w:rsidP="00CB6AF0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1A22AE">
              <w:rPr>
                <w:sz w:val="20"/>
              </w:rPr>
              <w:t>30,000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84FE7" w14:textId="77777777" w:rsidR="002702D7" w:rsidRPr="001A22AE" w:rsidRDefault="002702D7" w:rsidP="00CB6AF0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1A22AE">
              <w:rPr>
                <w:sz w:val="20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3CBE" w14:textId="77777777" w:rsidR="002702D7" w:rsidRPr="001A22AE" w:rsidRDefault="002702D7" w:rsidP="00CB6AF0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1A22AE">
              <w:rPr>
                <w:sz w:val="20"/>
              </w:rPr>
              <w:t>1,215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D071C" w14:textId="365E9F11" w:rsidR="002702D7" w:rsidRPr="00FC1B62" w:rsidRDefault="002B2DDB" w:rsidP="00CB6AF0">
            <w:pPr>
              <w:pStyle w:val="Numbered"/>
              <w:widowControl/>
              <w:spacing w:after="0"/>
              <w:jc w:val="center"/>
              <w:rPr>
                <w:strike/>
                <w:sz w:val="20"/>
              </w:rPr>
            </w:pPr>
            <w:r w:rsidRPr="00FC1B62">
              <w:rPr>
                <w:sz w:val="20"/>
              </w:rPr>
              <w:t xml:space="preserve"> 5,085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69EF4" w14:textId="1818A615" w:rsidR="002702D7" w:rsidRPr="00FC1B62" w:rsidRDefault="002B2DDB" w:rsidP="00CB6AF0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6,300</w:t>
            </w:r>
          </w:p>
        </w:tc>
      </w:tr>
      <w:tr w:rsidR="002702D7" w:rsidRPr="001A22AE" w14:paraId="751AF411" w14:textId="77777777" w:rsidTr="00CB6AF0">
        <w:trPr>
          <w:jc w:val="center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60D82" w14:textId="77777777" w:rsidR="002702D7" w:rsidRPr="001A22AE" w:rsidRDefault="002702D7" w:rsidP="00CB6AF0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1A22AE">
              <w:rPr>
                <w:sz w:val="20"/>
              </w:rPr>
              <w:t>35,000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1260C" w14:textId="77777777" w:rsidR="002702D7" w:rsidRPr="001A22AE" w:rsidRDefault="002702D7" w:rsidP="00CB6AF0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1A22AE">
              <w:rPr>
                <w:sz w:val="20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D4A8A" w14:textId="77777777" w:rsidR="002702D7" w:rsidRPr="001A22AE" w:rsidRDefault="002702D7" w:rsidP="00CB6AF0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1A22AE">
              <w:rPr>
                <w:sz w:val="20"/>
              </w:rPr>
              <w:t>689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1621B" w14:textId="2DF23CDA" w:rsidR="002702D7" w:rsidRPr="00FC1B62" w:rsidRDefault="002B2DDB" w:rsidP="00CB6AF0">
            <w:pPr>
              <w:pStyle w:val="Numbered"/>
              <w:widowControl/>
              <w:spacing w:after="0"/>
              <w:jc w:val="center"/>
              <w:rPr>
                <w:strike/>
                <w:sz w:val="20"/>
              </w:rPr>
            </w:pPr>
            <w:r w:rsidRPr="00FC1B62">
              <w:rPr>
                <w:sz w:val="20"/>
              </w:rPr>
              <w:t xml:space="preserve"> 5,611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D802D" w14:textId="16B9F74F" w:rsidR="002702D7" w:rsidRPr="00FC1B62" w:rsidRDefault="002B2DDB" w:rsidP="00CB6AF0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6,300</w:t>
            </w:r>
          </w:p>
        </w:tc>
      </w:tr>
      <w:tr w:rsidR="002702D7" w:rsidRPr="001A22AE" w14:paraId="32FD9A7C" w14:textId="77777777" w:rsidTr="00CB6AF0">
        <w:trPr>
          <w:trHeight w:val="148"/>
          <w:jc w:val="center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23972" w14:textId="77777777" w:rsidR="002702D7" w:rsidRPr="001A22AE" w:rsidRDefault="002702D7" w:rsidP="00CB6AF0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1A22AE">
              <w:rPr>
                <w:sz w:val="20"/>
              </w:rPr>
              <w:t>41,065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29B44" w14:textId="77777777" w:rsidR="002702D7" w:rsidRPr="001A22AE" w:rsidRDefault="002702D7" w:rsidP="00CB6AF0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1A22AE">
              <w:rPr>
                <w:sz w:val="20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B32CE" w14:textId="77777777" w:rsidR="002702D7" w:rsidRPr="001A22AE" w:rsidRDefault="002702D7" w:rsidP="00CB6AF0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1A22AE">
              <w:rPr>
                <w:sz w:val="20"/>
              </w:rPr>
              <w:t>50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DE08" w14:textId="096D9C67" w:rsidR="002702D7" w:rsidRPr="00FC1B62" w:rsidRDefault="002B2DDB" w:rsidP="00CB6AF0">
            <w:pPr>
              <w:pStyle w:val="Numbered"/>
              <w:widowControl/>
              <w:spacing w:after="0"/>
              <w:jc w:val="center"/>
              <w:rPr>
                <w:strike/>
                <w:sz w:val="20"/>
              </w:rPr>
            </w:pPr>
            <w:r w:rsidRPr="00FC1B62">
              <w:rPr>
                <w:sz w:val="20"/>
              </w:rPr>
              <w:t xml:space="preserve"> 6,250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AA089" w14:textId="6DCC4F10" w:rsidR="002702D7" w:rsidRPr="00FC1B62" w:rsidRDefault="002B2DDB" w:rsidP="00CB6AF0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6,300</w:t>
            </w:r>
          </w:p>
        </w:tc>
      </w:tr>
      <w:tr w:rsidR="002702D7" w:rsidRPr="001A22AE" w14:paraId="2D3EE6BE" w14:textId="77777777" w:rsidTr="00CB6AF0">
        <w:trPr>
          <w:jc w:val="center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C647B" w14:textId="77777777" w:rsidR="002702D7" w:rsidRPr="001A22AE" w:rsidRDefault="002702D7" w:rsidP="00CB6AF0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1A22AE">
              <w:rPr>
                <w:sz w:val="20"/>
              </w:rPr>
              <w:t>41,540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7AFEE" w14:textId="77777777" w:rsidR="002702D7" w:rsidRPr="001A22AE" w:rsidRDefault="002702D7" w:rsidP="00CB6AF0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1A22AE">
              <w:rPr>
                <w:sz w:val="20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510DB" w14:textId="77777777" w:rsidR="002702D7" w:rsidRPr="001A22AE" w:rsidRDefault="002702D7" w:rsidP="00CB6AF0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1A22AE">
              <w:rPr>
                <w:sz w:val="20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81C3" w14:textId="1F71F573" w:rsidR="002702D7" w:rsidRPr="00FC1B62" w:rsidRDefault="002B2DDB" w:rsidP="00CB6AF0">
            <w:pPr>
              <w:pStyle w:val="Numbered"/>
              <w:widowControl/>
              <w:spacing w:after="0"/>
              <w:jc w:val="center"/>
              <w:rPr>
                <w:strike/>
                <w:sz w:val="20"/>
              </w:rPr>
            </w:pPr>
            <w:r w:rsidRPr="00FC1B62">
              <w:rPr>
                <w:sz w:val="20"/>
              </w:rPr>
              <w:t xml:space="preserve"> 6,300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31EBB" w14:textId="6BFC7FE4" w:rsidR="002702D7" w:rsidRPr="00FC1B62" w:rsidRDefault="002B2DDB" w:rsidP="00CB6AF0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6,300</w:t>
            </w:r>
          </w:p>
        </w:tc>
      </w:tr>
      <w:tr w:rsidR="002702D7" w:rsidRPr="001A22AE" w14:paraId="2B2D7C8B" w14:textId="77777777" w:rsidTr="00CB6AF0">
        <w:trPr>
          <w:jc w:val="center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6D5B2" w14:textId="77777777" w:rsidR="002702D7" w:rsidRPr="001A22AE" w:rsidRDefault="002702D7" w:rsidP="00CB6AF0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1A22AE">
              <w:rPr>
                <w:sz w:val="20"/>
              </w:rPr>
              <w:t>42,000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1033A" w14:textId="77EAD8B2" w:rsidR="002702D7" w:rsidRPr="00FC1B62" w:rsidRDefault="003E1029" w:rsidP="00CB6AF0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80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A1AF" w14:textId="77777777" w:rsidR="002702D7" w:rsidRPr="001A22AE" w:rsidRDefault="002702D7" w:rsidP="00CB6AF0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1A22AE">
              <w:rPr>
                <w:sz w:val="20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899B4" w14:textId="4408A08A" w:rsidR="002702D7" w:rsidRPr="00FC1B62" w:rsidRDefault="002B2DDB" w:rsidP="00CB6AF0">
            <w:pPr>
              <w:pStyle w:val="Numbered"/>
              <w:widowControl/>
              <w:spacing w:after="0"/>
              <w:jc w:val="center"/>
              <w:rPr>
                <w:strike/>
                <w:sz w:val="20"/>
              </w:rPr>
            </w:pPr>
            <w:r w:rsidRPr="00FC1B62">
              <w:rPr>
                <w:sz w:val="20"/>
              </w:rPr>
              <w:t xml:space="preserve"> 6,220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D7424" w14:textId="3908B2A3" w:rsidR="002702D7" w:rsidRPr="00FC1B62" w:rsidRDefault="002B2DDB" w:rsidP="00CB6AF0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6,220</w:t>
            </w:r>
          </w:p>
        </w:tc>
      </w:tr>
      <w:tr w:rsidR="002702D7" w:rsidRPr="001A22AE" w14:paraId="101D02D2" w14:textId="77777777" w:rsidTr="00CB6AF0">
        <w:trPr>
          <w:jc w:val="center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FB6E4" w14:textId="77777777" w:rsidR="002702D7" w:rsidRPr="001A22AE" w:rsidRDefault="002702D7" w:rsidP="00CB6AF0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1A22AE">
              <w:rPr>
                <w:sz w:val="20"/>
              </w:rPr>
              <w:t>45,000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80CDC" w14:textId="2EB61386" w:rsidR="002702D7" w:rsidRPr="00FC1B62" w:rsidRDefault="003E1029" w:rsidP="00CB6AF0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 xml:space="preserve"> 605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2516E" w14:textId="77777777" w:rsidR="002702D7" w:rsidRPr="001A22AE" w:rsidRDefault="002702D7" w:rsidP="00CB6AF0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1A22AE">
              <w:rPr>
                <w:sz w:val="20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AA607" w14:textId="3C868F5D" w:rsidR="002702D7" w:rsidRPr="00FC1B62" w:rsidRDefault="002B2DDB" w:rsidP="00CB6AF0">
            <w:pPr>
              <w:pStyle w:val="Numbered"/>
              <w:widowControl/>
              <w:spacing w:after="0"/>
              <w:jc w:val="center"/>
              <w:rPr>
                <w:strike/>
                <w:sz w:val="20"/>
              </w:rPr>
            </w:pPr>
            <w:r w:rsidRPr="00FC1B62">
              <w:rPr>
                <w:sz w:val="20"/>
              </w:rPr>
              <w:t xml:space="preserve"> 5,695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035CE" w14:textId="63B7E9BB" w:rsidR="002702D7" w:rsidRPr="00FC1B62" w:rsidRDefault="002B2DDB" w:rsidP="00CB6AF0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5,695</w:t>
            </w:r>
          </w:p>
        </w:tc>
      </w:tr>
      <w:tr w:rsidR="002702D7" w:rsidRPr="001A22AE" w14:paraId="04488CFD" w14:textId="77777777" w:rsidTr="00CB6AF0">
        <w:trPr>
          <w:jc w:val="center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401E3BE" w14:textId="77777777" w:rsidR="002702D7" w:rsidRPr="001A22AE" w:rsidRDefault="002702D7" w:rsidP="00CB6AF0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1A22AE">
              <w:rPr>
                <w:sz w:val="20"/>
              </w:rPr>
              <w:t>50,</w:t>
            </w:r>
            <w:r>
              <w:rPr>
                <w:sz w:val="20"/>
              </w:rPr>
              <w:t>537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78AC55F" w14:textId="75DE3A39" w:rsidR="002702D7" w:rsidRPr="00FC1B62" w:rsidRDefault="003E1029" w:rsidP="00CB6AF0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 xml:space="preserve"> 1</w:t>
            </w:r>
            <w:r w:rsidR="002B2DDB" w:rsidRPr="00FC1B62">
              <w:rPr>
                <w:sz w:val="20"/>
              </w:rPr>
              <w:t>,</w:t>
            </w:r>
            <w:r w:rsidRPr="00FC1B62">
              <w:rPr>
                <w:sz w:val="20"/>
              </w:rPr>
              <w:t>574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1C27CB7" w14:textId="77777777" w:rsidR="002702D7" w:rsidRPr="001A22AE" w:rsidRDefault="002702D7" w:rsidP="00CB6AF0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1A22AE">
              <w:rPr>
                <w:sz w:val="20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D3762F4" w14:textId="1563D4AE" w:rsidR="002702D7" w:rsidRPr="00FC1B62" w:rsidRDefault="002B2DDB" w:rsidP="00CB6AF0">
            <w:pPr>
              <w:pStyle w:val="Numbered"/>
              <w:widowControl/>
              <w:spacing w:after="0"/>
              <w:jc w:val="center"/>
              <w:rPr>
                <w:strike/>
                <w:sz w:val="20"/>
              </w:rPr>
            </w:pPr>
            <w:r w:rsidRPr="00FC1B62">
              <w:rPr>
                <w:sz w:val="20"/>
              </w:rPr>
              <w:t xml:space="preserve"> 4,726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0DC08C0" w14:textId="14E4ABB9" w:rsidR="002702D7" w:rsidRPr="00FC1B62" w:rsidRDefault="002B2DDB" w:rsidP="00CB6AF0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4,726</w:t>
            </w:r>
          </w:p>
        </w:tc>
      </w:tr>
    </w:tbl>
    <w:p w14:paraId="55C68485" w14:textId="6E557437" w:rsidR="009377E9" w:rsidRDefault="009377E9" w:rsidP="005A501E">
      <w:pPr>
        <w:pStyle w:val="ListParagraph"/>
        <w:spacing w:after="0" w:line="240" w:lineRule="auto"/>
        <w:ind w:left="0"/>
        <w:rPr>
          <w:rFonts w:ascii="Arial" w:hAnsi="Arial" w:cs="Arial"/>
          <w:color w:val="000000"/>
          <w:sz w:val="24"/>
        </w:rPr>
      </w:pPr>
    </w:p>
    <w:p w14:paraId="5F58458F" w14:textId="58716839" w:rsidR="002702D7" w:rsidRDefault="002702D7" w:rsidP="005A501E">
      <w:pPr>
        <w:pStyle w:val="ListParagraph"/>
        <w:spacing w:after="0" w:line="240" w:lineRule="auto"/>
        <w:ind w:left="0"/>
        <w:rPr>
          <w:rFonts w:ascii="Arial" w:hAnsi="Arial" w:cs="Arial"/>
          <w:color w:val="000000"/>
          <w:sz w:val="24"/>
        </w:rPr>
      </w:pPr>
    </w:p>
    <w:p w14:paraId="11B8346B" w14:textId="62BF9AF3" w:rsidR="002702D7" w:rsidRDefault="002702D7" w:rsidP="005A501E">
      <w:pPr>
        <w:pStyle w:val="ListParagraph"/>
        <w:spacing w:after="0" w:line="240" w:lineRule="auto"/>
        <w:ind w:left="0"/>
        <w:rPr>
          <w:rFonts w:ascii="Arial" w:hAnsi="Arial" w:cs="Arial"/>
          <w:color w:val="000000"/>
          <w:sz w:val="24"/>
        </w:rPr>
      </w:pPr>
    </w:p>
    <w:p w14:paraId="6BA85150" w14:textId="33445FA0" w:rsidR="002702D7" w:rsidRDefault="002702D7" w:rsidP="005A501E">
      <w:pPr>
        <w:pStyle w:val="ListParagraph"/>
        <w:spacing w:after="0" w:line="240" w:lineRule="auto"/>
        <w:ind w:left="0"/>
        <w:rPr>
          <w:rFonts w:ascii="Arial" w:hAnsi="Arial" w:cs="Arial"/>
          <w:color w:val="000000"/>
          <w:sz w:val="24"/>
        </w:rPr>
      </w:pPr>
    </w:p>
    <w:p w14:paraId="611556D0" w14:textId="0AB053AA" w:rsidR="002702D7" w:rsidRDefault="002702D7" w:rsidP="005A501E">
      <w:pPr>
        <w:pStyle w:val="ListParagraph"/>
        <w:spacing w:after="0" w:line="240" w:lineRule="auto"/>
        <w:ind w:left="0"/>
        <w:rPr>
          <w:rFonts w:ascii="Arial" w:hAnsi="Arial" w:cs="Arial"/>
          <w:color w:val="000000"/>
          <w:sz w:val="24"/>
        </w:rPr>
      </w:pPr>
    </w:p>
    <w:p w14:paraId="29865C07" w14:textId="22854605" w:rsidR="002702D7" w:rsidRDefault="002702D7" w:rsidP="005A501E">
      <w:pPr>
        <w:pStyle w:val="ListParagraph"/>
        <w:spacing w:after="0" w:line="240" w:lineRule="auto"/>
        <w:ind w:left="0"/>
        <w:rPr>
          <w:rFonts w:ascii="Arial" w:hAnsi="Arial" w:cs="Arial"/>
          <w:color w:val="000000"/>
          <w:sz w:val="24"/>
        </w:rPr>
      </w:pPr>
    </w:p>
    <w:p w14:paraId="6DDC009C" w14:textId="2C1055DC" w:rsidR="002702D7" w:rsidRDefault="002702D7" w:rsidP="005A501E">
      <w:pPr>
        <w:pStyle w:val="ListParagraph"/>
        <w:spacing w:after="0" w:line="240" w:lineRule="auto"/>
        <w:ind w:left="0"/>
        <w:rPr>
          <w:rFonts w:ascii="Arial" w:hAnsi="Arial" w:cs="Arial"/>
          <w:color w:val="000000"/>
          <w:sz w:val="24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843"/>
        <w:gridCol w:w="1843"/>
        <w:gridCol w:w="2126"/>
        <w:gridCol w:w="1770"/>
      </w:tblGrid>
      <w:tr w:rsidR="002702D7" w:rsidRPr="001A22AE" w14:paraId="6FDF83C3" w14:textId="77777777" w:rsidTr="00CB6AF0">
        <w:trPr>
          <w:jc w:val="center"/>
        </w:trPr>
        <w:tc>
          <w:tcPr>
            <w:tcW w:w="195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354DC86" w14:textId="77777777" w:rsidR="002702D7" w:rsidRPr="00FC1B62" w:rsidRDefault="002702D7" w:rsidP="00CB6AF0">
            <w:pPr>
              <w:pStyle w:val="Numbered"/>
              <w:widowControl/>
              <w:spacing w:after="0"/>
              <w:jc w:val="center"/>
              <w:rPr>
                <w:b/>
                <w:sz w:val="20"/>
              </w:rPr>
            </w:pPr>
            <w:r w:rsidRPr="00FC1B62">
              <w:rPr>
                <w:b/>
                <w:sz w:val="20"/>
              </w:rPr>
              <w:lastRenderedPageBreak/>
              <w:t>INCOME (£)</w:t>
            </w:r>
          </w:p>
          <w:p w14:paraId="299CE636" w14:textId="77777777" w:rsidR="002702D7" w:rsidRPr="00FC1B62" w:rsidRDefault="002702D7" w:rsidP="00CB6AF0">
            <w:pPr>
              <w:pStyle w:val="Numbered"/>
              <w:widowControl/>
              <w:spacing w:after="0"/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3385DD1" w14:textId="77777777" w:rsidR="002702D7" w:rsidRPr="00FC1B62" w:rsidRDefault="002702D7" w:rsidP="00CB6AF0">
            <w:pPr>
              <w:pStyle w:val="Numbered"/>
              <w:widowControl/>
              <w:spacing w:after="0"/>
              <w:jc w:val="center"/>
              <w:rPr>
                <w:b/>
                <w:sz w:val="20"/>
              </w:rPr>
            </w:pPr>
            <w:r w:rsidRPr="00FC1B62">
              <w:rPr>
                <w:b/>
                <w:sz w:val="20"/>
              </w:rPr>
              <w:t>ASSESSED CONTRIBUTION (£)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473D73F" w14:textId="77777777" w:rsidR="002702D7" w:rsidRPr="00FC1B62" w:rsidRDefault="002702D7" w:rsidP="00CB6AF0">
            <w:pPr>
              <w:pStyle w:val="Numbered"/>
              <w:widowControl/>
              <w:spacing w:after="0"/>
              <w:jc w:val="center"/>
              <w:rPr>
                <w:b/>
                <w:sz w:val="20"/>
              </w:rPr>
            </w:pPr>
            <w:r w:rsidRPr="00FC1B62">
              <w:rPr>
                <w:b/>
                <w:sz w:val="20"/>
              </w:rPr>
              <w:t>MAINTENANCE GRANT (£)</w:t>
            </w:r>
          </w:p>
          <w:p w14:paraId="0B1547D6" w14:textId="77777777" w:rsidR="002702D7" w:rsidRPr="00FC1B62" w:rsidRDefault="002702D7" w:rsidP="00CB6AF0">
            <w:pPr>
              <w:pStyle w:val="Numbered"/>
              <w:widowControl/>
              <w:spacing w:after="0"/>
              <w:jc w:val="center"/>
              <w:rPr>
                <w:b/>
                <w:sz w:val="20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A718CD9" w14:textId="77777777" w:rsidR="002702D7" w:rsidRPr="00FC1B62" w:rsidRDefault="002702D7" w:rsidP="00CB6AF0">
            <w:pPr>
              <w:pStyle w:val="Numbered"/>
              <w:widowControl/>
              <w:spacing w:after="0"/>
              <w:jc w:val="center"/>
              <w:rPr>
                <w:b/>
                <w:sz w:val="20"/>
              </w:rPr>
            </w:pPr>
            <w:r w:rsidRPr="00FC1B62">
              <w:rPr>
                <w:b/>
                <w:sz w:val="20"/>
              </w:rPr>
              <w:t>MAINTENANCE LOAN (£)</w:t>
            </w:r>
          </w:p>
        </w:tc>
        <w:tc>
          <w:tcPr>
            <w:tcW w:w="177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1352BD7" w14:textId="77777777" w:rsidR="002702D7" w:rsidRPr="00FC1B62" w:rsidRDefault="002702D7" w:rsidP="00CB6AF0">
            <w:pPr>
              <w:pStyle w:val="Numbered"/>
              <w:widowControl/>
              <w:spacing w:after="0"/>
              <w:jc w:val="center"/>
              <w:rPr>
                <w:b/>
                <w:sz w:val="20"/>
              </w:rPr>
            </w:pPr>
            <w:r w:rsidRPr="00FC1B62">
              <w:rPr>
                <w:b/>
                <w:sz w:val="20"/>
              </w:rPr>
              <w:t>TOTAL GRANT PLUS LOAN (£)</w:t>
            </w:r>
          </w:p>
        </w:tc>
      </w:tr>
      <w:tr w:rsidR="002702D7" w:rsidRPr="001A22AE" w14:paraId="2F936D7E" w14:textId="77777777" w:rsidTr="00CB6AF0">
        <w:trPr>
          <w:jc w:val="center"/>
        </w:trPr>
        <w:tc>
          <w:tcPr>
            <w:tcW w:w="195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8C68F56" w14:textId="5B3D1DB9" w:rsidR="002702D7" w:rsidRPr="00FC1B62" w:rsidRDefault="002702D7" w:rsidP="002702D7">
            <w:pPr>
              <w:pStyle w:val="Numbered"/>
              <w:widowControl/>
              <w:spacing w:after="0"/>
              <w:jc w:val="center"/>
              <w:rPr>
                <w:b/>
                <w:sz w:val="20"/>
              </w:rPr>
            </w:pPr>
            <w:r w:rsidRPr="00FC1B62">
              <w:rPr>
                <w:b/>
                <w:sz w:val="20"/>
              </w:rPr>
              <w:t>Student living in lodgings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4759AE0" w14:textId="77777777" w:rsidR="002702D7" w:rsidRPr="00FC1B62" w:rsidRDefault="002702D7" w:rsidP="00CB6AF0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EC36BE7" w14:textId="77777777" w:rsidR="002702D7" w:rsidRPr="00FC1B62" w:rsidRDefault="002702D7" w:rsidP="00CB6AF0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A0F3F4D" w14:textId="62C69737" w:rsidR="002702D7" w:rsidRPr="00FC1B62" w:rsidRDefault="002702D7" w:rsidP="00CB6AF0">
            <w:pPr>
              <w:pStyle w:val="Numbered"/>
              <w:widowControl/>
              <w:spacing w:after="0"/>
              <w:jc w:val="center"/>
              <w:rPr>
                <w:b/>
                <w:sz w:val="20"/>
              </w:rPr>
            </w:pPr>
            <w:r w:rsidRPr="00FC1B62">
              <w:rPr>
                <w:b/>
                <w:sz w:val="20"/>
              </w:rPr>
              <w:t xml:space="preserve">Maximum </w:t>
            </w:r>
            <w:r w:rsidR="00883B37" w:rsidRPr="00FC1B62">
              <w:rPr>
                <w:b/>
                <w:sz w:val="20"/>
              </w:rPr>
              <w:t>£8132</w:t>
            </w:r>
          </w:p>
        </w:tc>
        <w:tc>
          <w:tcPr>
            <w:tcW w:w="177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5FC6AA1" w14:textId="77777777" w:rsidR="002702D7" w:rsidRPr="00FC1B62" w:rsidRDefault="002702D7" w:rsidP="00CB6AF0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</w:p>
        </w:tc>
      </w:tr>
      <w:tr w:rsidR="002702D7" w:rsidRPr="001A22AE" w14:paraId="7BD5CDDD" w14:textId="77777777" w:rsidTr="00CB6AF0">
        <w:trPr>
          <w:jc w:val="center"/>
        </w:trPr>
        <w:tc>
          <w:tcPr>
            <w:tcW w:w="195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C4DCB" w14:textId="77777777" w:rsidR="002702D7" w:rsidRPr="00FC1B62" w:rsidRDefault="002702D7" w:rsidP="00CB6AF0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19,203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1487A" w14:textId="77777777" w:rsidR="002702D7" w:rsidRPr="00FC1B62" w:rsidRDefault="002702D7" w:rsidP="00CB6AF0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0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4117" w14:textId="77777777" w:rsidR="002702D7" w:rsidRPr="00FC1B62" w:rsidRDefault="002702D7" w:rsidP="00CB6AF0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3,475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C0837" w14:textId="73A0F3BB" w:rsidR="002702D7" w:rsidRPr="00FC1B62" w:rsidRDefault="00883B37" w:rsidP="00CB6AF0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6,282</w:t>
            </w:r>
          </w:p>
        </w:tc>
        <w:tc>
          <w:tcPr>
            <w:tcW w:w="177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3FF4C" w14:textId="4A8A23C4" w:rsidR="002702D7" w:rsidRPr="00FC1B62" w:rsidRDefault="001D7579" w:rsidP="00CB6AF0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9,757</w:t>
            </w:r>
          </w:p>
        </w:tc>
      </w:tr>
      <w:tr w:rsidR="002702D7" w:rsidRPr="001A22AE" w14:paraId="1AF9EBE9" w14:textId="77777777" w:rsidTr="00CB6AF0">
        <w:trPr>
          <w:jc w:val="center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78D85" w14:textId="77777777" w:rsidR="002702D7" w:rsidRPr="00FC1B62" w:rsidRDefault="002702D7" w:rsidP="00CB6AF0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20,000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D196E" w14:textId="77777777" w:rsidR="002702D7" w:rsidRPr="00FC1B62" w:rsidRDefault="002702D7" w:rsidP="00CB6AF0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5834E" w14:textId="77777777" w:rsidR="002702D7" w:rsidRPr="00FC1B62" w:rsidRDefault="002702D7" w:rsidP="00CB6AF0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3,300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B01DB" w14:textId="74305535" w:rsidR="002702D7" w:rsidRPr="00FC1B62" w:rsidRDefault="00883B37" w:rsidP="00CB6AF0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6,325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30314" w14:textId="0CAC3D07" w:rsidR="002702D7" w:rsidRPr="00FC1B62" w:rsidRDefault="001D7579" w:rsidP="00CB6AF0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9,625</w:t>
            </w:r>
          </w:p>
        </w:tc>
      </w:tr>
      <w:tr w:rsidR="002702D7" w:rsidRPr="001A22AE" w14:paraId="5606E069" w14:textId="77777777" w:rsidTr="00CB6AF0">
        <w:trPr>
          <w:jc w:val="center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C14BA" w14:textId="77777777" w:rsidR="002702D7" w:rsidRPr="00FC1B62" w:rsidRDefault="002702D7" w:rsidP="00CB6AF0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25,000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3D733" w14:textId="77777777" w:rsidR="002702D7" w:rsidRPr="00FC1B62" w:rsidRDefault="002702D7" w:rsidP="00CB6AF0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378C7" w14:textId="77777777" w:rsidR="002702D7" w:rsidRPr="00FC1B62" w:rsidRDefault="002702D7" w:rsidP="00CB6AF0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2,201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D2094" w14:textId="0E15104E" w:rsidR="002702D7" w:rsidRPr="00FC1B62" w:rsidRDefault="00883B37" w:rsidP="00CB6AF0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6,596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7AB64" w14:textId="16897130" w:rsidR="002702D7" w:rsidRPr="00FC1B62" w:rsidRDefault="001D7579" w:rsidP="00CB6AF0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8,797</w:t>
            </w:r>
          </w:p>
        </w:tc>
      </w:tr>
      <w:tr w:rsidR="002702D7" w:rsidRPr="001A22AE" w14:paraId="1DE0486D" w14:textId="77777777" w:rsidTr="00CB6AF0">
        <w:trPr>
          <w:jc w:val="center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C081D" w14:textId="77777777" w:rsidR="002702D7" w:rsidRPr="00FC1B62" w:rsidRDefault="002702D7" w:rsidP="00CB6AF0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29,019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036EB" w14:textId="77777777" w:rsidR="002702D7" w:rsidRPr="00FC1B62" w:rsidRDefault="002702D7" w:rsidP="00CB6AF0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7D545" w14:textId="77777777" w:rsidR="002702D7" w:rsidRPr="00FC1B62" w:rsidRDefault="002702D7" w:rsidP="00CB6AF0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1,318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DBAAB" w14:textId="1239A0C9" w:rsidR="002702D7" w:rsidRPr="00FC1B62" w:rsidRDefault="00883B37" w:rsidP="00CB6AF0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6,814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EFCAC" w14:textId="00097C43" w:rsidR="002702D7" w:rsidRPr="00FC1B62" w:rsidRDefault="001D7579" w:rsidP="00CB6AF0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8,132</w:t>
            </w:r>
          </w:p>
        </w:tc>
      </w:tr>
      <w:tr w:rsidR="002702D7" w:rsidRPr="001A22AE" w14:paraId="313F4646" w14:textId="77777777" w:rsidTr="00CB6AF0">
        <w:trPr>
          <w:jc w:val="center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72D54" w14:textId="77777777" w:rsidR="002702D7" w:rsidRPr="00FC1B62" w:rsidRDefault="002702D7" w:rsidP="00CB6AF0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30,000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2BE0B" w14:textId="77777777" w:rsidR="002702D7" w:rsidRPr="00FC1B62" w:rsidRDefault="002702D7" w:rsidP="00CB6AF0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16D42" w14:textId="77777777" w:rsidR="002702D7" w:rsidRPr="00FC1B62" w:rsidRDefault="002702D7" w:rsidP="00CB6AF0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1,215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95ED5" w14:textId="61677233" w:rsidR="002702D7" w:rsidRPr="00FC1B62" w:rsidRDefault="001D7579" w:rsidP="00CB6AF0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6,917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7F3C2" w14:textId="623A02F3" w:rsidR="002702D7" w:rsidRPr="00FC1B62" w:rsidRDefault="001D7579" w:rsidP="00CB6AF0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8,132</w:t>
            </w:r>
          </w:p>
        </w:tc>
      </w:tr>
      <w:tr w:rsidR="002702D7" w:rsidRPr="001A22AE" w14:paraId="2D47C24F" w14:textId="77777777" w:rsidTr="00CB6AF0">
        <w:trPr>
          <w:jc w:val="center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7BB60" w14:textId="77777777" w:rsidR="002702D7" w:rsidRPr="00FC1B62" w:rsidRDefault="002702D7" w:rsidP="00CB6AF0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35,000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C4AD0" w14:textId="77777777" w:rsidR="002702D7" w:rsidRPr="00FC1B62" w:rsidRDefault="002702D7" w:rsidP="00CB6AF0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EC77C" w14:textId="77777777" w:rsidR="002702D7" w:rsidRPr="00FC1B62" w:rsidRDefault="002702D7" w:rsidP="00CB6AF0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689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7A32E" w14:textId="30ED5902" w:rsidR="001D7579" w:rsidRPr="00FC1B62" w:rsidRDefault="001D7579" w:rsidP="001D7579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7,443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1252" w14:textId="2651F265" w:rsidR="002702D7" w:rsidRPr="00FC1B62" w:rsidRDefault="001D7579" w:rsidP="00CB6AF0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8,132</w:t>
            </w:r>
          </w:p>
        </w:tc>
      </w:tr>
      <w:tr w:rsidR="002702D7" w:rsidRPr="001A22AE" w14:paraId="07ECD779" w14:textId="77777777" w:rsidTr="00CB6AF0">
        <w:trPr>
          <w:jc w:val="center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62778" w14:textId="77777777" w:rsidR="002702D7" w:rsidRPr="00FC1B62" w:rsidRDefault="002702D7" w:rsidP="00CB6AF0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41,065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4E71B" w14:textId="77777777" w:rsidR="002702D7" w:rsidRPr="00FC1B62" w:rsidRDefault="002702D7" w:rsidP="00CB6AF0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2DFB5" w14:textId="77777777" w:rsidR="002702D7" w:rsidRPr="00FC1B62" w:rsidRDefault="002702D7" w:rsidP="00CB6AF0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50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D07FC" w14:textId="1D2F31DD" w:rsidR="002702D7" w:rsidRPr="00FC1B62" w:rsidRDefault="001D7579" w:rsidP="00CB6AF0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8,082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8114E" w14:textId="7332FB3A" w:rsidR="002702D7" w:rsidRPr="00FC1B62" w:rsidRDefault="001D7579" w:rsidP="00CB6AF0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8,132</w:t>
            </w:r>
          </w:p>
        </w:tc>
      </w:tr>
      <w:tr w:rsidR="002702D7" w:rsidRPr="001A22AE" w14:paraId="0515FE37" w14:textId="77777777" w:rsidTr="00CB6AF0">
        <w:trPr>
          <w:jc w:val="center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F348" w14:textId="77777777" w:rsidR="002702D7" w:rsidRPr="00FC1B62" w:rsidRDefault="002702D7" w:rsidP="00CB6AF0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41,540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BDF16" w14:textId="77777777" w:rsidR="002702D7" w:rsidRPr="00FC1B62" w:rsidRDefault="002702D7" w:rsidP="00CB6AF0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9FEE0" w14:textId="77777777" w:rsidR="002702D7" w:rsidRPr="00FC1B62" w:rsidRDefault="002702D7" w:rsidP="00CB6AF0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 xml:space="preserve">0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38D79" w14:textId="24B38B80" w:rsidR="002702D7" w:rsidRPr="00FC1B62" w:rsidRDefault="001D7579" w:rsidP="00CB6AF0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8,132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73A57" w14:textId="41EC8C49" w:rsidR="002702D7" w:rsidRPr="00FC1B62" w:rsidRDefault="001D7579" w:rsidP="00CB6AF0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8,132</w:t>
            </w:r>
          </w:p>
        </w:tc>
      </w:tr>
      <w:tr w:rsidR="00883B37" w:rsidRPr="001A22AE" w14:paraId="1F1A7274" w14:textId="77777777" w:rsidTr="00CB6AF0">
        <w:trPr>
          <w:jc w:val="center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638F5" w14:textId="77777777" w:rsidR="00883B37" w:rsidRPr="00FC1B62" w:rsidRDefault="00883B37" w:rsidP="00883B37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42,000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3D297" w14:textId="5992E665" w:rsidR="00883B37" w:rsidRPr="00FC1B62" w:rsidRDefault="00883B37" w:rsidP="00883B37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80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2BE8D" w14:textId="77777777" w:rsidR="00883B37" w:rsidRPr="00FC1B62" w:rsidRDefault="00883B37" w:rsidP="00883B37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4FCF1" w14:textId="4593027A" w:rsidR="00883B37" w:rsidRPr="00FC1B62" w:rsidRDefault="001D7579" w:rsidP="00883B37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8,652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87B9A" w14:textId="7BCCD3C2" w:rsidR="00883B37" w:rsidRPr="00FC1B62" w:rsidRDefault="001D7579" w:rsidP="00883B37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8,052</w:t>
            </w:r>
          </w:p>
        </w:tc>
      </w:tr>
      <w:tr w:rsidR="00883B37" w:rsidRPr="001A22AE" w14:paraId="3EB6FAA6" w14:textId="77777777" w:rsidTr="00CB6AF0">
        <w:trPr>
          <w:jc w:val="center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585C2" w14:textId="77777777" w:rsidR="00883B37" w:rsidRPr="00FC1B62" w:rsidRDefault="00883B37" w:rsidP="00883B37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45,000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5777" w14:textId="77370389" w:rsidR="00883B37" w:rsidRPr="00FC1B62" w:rsidRDefault="00883B37" w:rsidP="00883B37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605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D50F7" w14:textId="77777777" w:rsidR="00883B37" w:rsidRPr="00FC1B62" w:rsidRDefault="00883B37" w:rsidP="00883B37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7DA63" w14:textId="1408659D" w:rsidR="00883B37" w:rsidRPr="00FC1B62" w:rsidRDefault="001D7579" w:rsidP="00883B37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7,527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ECD3" w14:textId="3F2750F1" w:rsidR="00883B37" w:rsidRPr="00FC1B62" w:rsidRDefault="001D7579" w:rsidP="00883B37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7,527</w:t>
            </w:r>
          </w:p>
        </w:tc>
      </w:tr>
      <w:tr w:rsidR="00883B37" w:rsidRPr="001A22AE" w14:paraId="29401150" w14:textId="77777777" w:rsidTr="00CB6AF0">
        <w:trPr>
          <w:jc w:val="center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CBA7B4A" w14:textId="77777777" w:rsidR="00883B37" w:rsidRPr="00FC1B62" w:rsidRDefault="00883B37" w:rsidP="00883B37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53,043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9187636" w14:textId="5F062F75" w:rsidR="00883B37" w:rsidRPr="00FC1B62" w:rsidRDefault="00883B37" w:rsidP="00883B37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2,033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A7BD586" w14:textId="77777777" w:rsidR="00883B37" w:rsidRPr="00FC1B62" w:rsidRDefault="00883B37" w:rsidP="00883B37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BBB62B4" w14:textId="3E871D53" w:rsidR="00883B37" w:rsidRPr="00FC1B62" w:rsidRDefault="00883B37" w:rsidP="00883B37">
            <w:pPr>
              <w:pStyle w:val="Numbered"/>
              <w:widowControl/>
              <w:spacing w:after="0"/>
              <w:rPr>
                <w:sz w:val="20"/>
              </w:rPr>
            </w:pPr>
            <w:r w:rsidRPr="00FC1B62">
              <w:rPr>
                <w:sz w:val="20"/>
              </w:rPr>
              <w:t xml:space="preserve">      </w:t>
            </w:r>
            <w:r w:rsidR="00FC1B62" w:rsidRPr="00FC1B62">
              <w:rPr>
                <w:sz w:val="20"/>
              </w:rPr>
              <w:t xml:space="preserve">      6099       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EC651E1" w14:textId="312913DA" w:rsidR="00883B37" w:rsidRPr="00FC1B62" w:rsidRDefault="001D7579" w:rsidP="00883B37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6,099</w:t>
            </w:r>
          </w:p>
        </w:tc>
      </w:tr>
    </w:tbl>
    <w:p w14:paraId="09BAB610" w14:textId="5AE72ED2" w:rsidR="002702D7" w:rsidRDefault="002702D7" w:rsidP="005A501E">
      <w:pPr>
        <w:pStyle w:val="ListParagraph"/>
        <w:spacing w:after="0" w:line="240" w:lineRule="auto"/>
        <w:ind w:left="0"/>
        <w:rPr>
          <w:rFonts w:ascii="Arial" w:hAnsi="Arial" w:cs="Arial"/>
          <w:color w:val="000000"/>
          <w:sz w:val="24"/>
        </w:rPr>
      </w:pPr>
    </w:p>
    <w:p w14:paraId="0DEE8EAE" w14:textId="79247A84" w:rsidR="002702D7" w:rsidRDefault="002702D7" w:rsidP="005A501E">
      <w:pPr>
        <w:pStyle w:val="ListParagraph"/>
        <w:spacing w:after="0" w:line="240" w:lineRule="auto"/>
        <w:ind w:left="0"/>
        <w:rPr>
          <w:rFonts w:ascii="Arial" w:hAnsi="Arial" w:cs="Arial"/>
          <w:color w:val="000000"/>
          <w:sz w:val="24"/>
        </w:rPr>
      </w:pPr>
    </w:p>
    <w:p w14:paraId="3BD6CEF7" w14:textId="6DA10B7D" w:rsidR="005D6EBF" w:rsidRPr="00F90E64" w:rsidRDefault="003A301A" w:rsidP="000F6963">
      <w:pPr>
        <w:autoSpaceDE w:val="0"/>
        <w:autoSpaceDN w:val="0"/>
        <w:adjustRightInd w:val="0"/>
        <w:spacing w:after="240"/>
        <w:rPr>
          <w:rFonts w:ascii="Arial" w:eastAsiaTheme="minorHAnsi" w:hAnsi="Arial" w:cs="Arial"/>
          <w:lang w:eastAsia="en-US"/>
        </w:rPr>
      </w:pPr>
      <w:r w:rsidRPr="002C7D73">
        <w:rPr>
          <w:rFonts w:ascii="Arial" w:eastAsiaTheme="minorHAnsi" w:hAnsi="Arial" w:cs="Arial"/>
          <w:b/>
          <w:lang w:eastAsia="en-US"/>
        </w:rPr>
        <w:t>Illustration of Bursary and L</w:t>
      </w:r>
      <w:r w:rsidR="005D6EBF" w:rsidRPr="002C7D73">
        <w:rPr>
          <w:rFonts w:ascii="Arial" w:eastAsiaTheme="minorHAnsi" w:hAnsi="Arial" w:cs="Arial"/>
          <w:b/>
          <w:lang w:eastAsia="en-US"/>
        </w:rPr>
        <w:t>oan entitlement for years four and five (after an intercalated course) or for year five (where an intercalated course is not followed) is as follows</w:t>
      </w:r>
      <w:r w:rsidR="005D6EBF" w:rsidRPr="00F90E64">
        <w:rPr>
          <w:rFonts w:ascii="Arial" w:eastAsiaTheme="minorHAnsi" w:hAnsi="Arial" w:cs="Arial"/>
          <w:lang w:eastAsia="en-US"/>
        </w:rPr>
        <w:t>:</w:t>
      </w:r>
    </w:p>
    <w:tbl>
      <w:tblPr>
        <w:tblW w:w="972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bottom w:w="28" w:type="dxa"/>
        </w:tblCellMar>
        <w:tblLook w:val="0020" w:firstRow="1" w:lastRow="0" w:firstColumn="0" w:lastColumn="0" w:noHBand="0" w:noVBand="0"/>
      </w:tblPr>
      <w:tblGrid>
        <w:gridCol w:w="1951"/>
        <w:gridCol w:w="1843"/>
        <w:gridCol w:w="1683"/>
        <w:gridCol w:w="1223"/>
        <w:gridCol w:w="947"/>
        <w:gridCol w:w="1134"/>
        <w:gridCol w:w="948"/>
      </w:tblGrid>
      <w:tr w:rsidR="00BC0CD9" w:rsidRPr="0012203D" w14:paraId="45437AA0" w14:textId="77777777" w:rsidTr="00FC1B62">
        <w:tc>
          <w:tcPr>
            <w:tcW w:w="195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339A2D7" w14:textId="77777777" w:rsidR="005477B3" w:rsidRDefault="001606D8" w:rsidP="005A501E">
            <w:pPr>
              <w:pStyle w:val="Numbered"/>
              <w:widowControl/>
              <w:spacing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HOUSEHOLD </w:t>
            </w:r>
            <w:r w:rsidR="00BC0CD9" w:rsidRPr="0012203D">
              <w:rPr>
                <w:b/>
                <w:sz w:val="20"/>
              </w:rPr>
              <w:t>INCOME</w:t>
            </w:r>
          </w:p>
          <w:p w14:paraId="7528CB46" w14:textId="77777777" w:rsidR="00BC0CD9" w:rsidRPr="0012203D" w:rsidRDefault="00BC0CD9" w:rsidP="005A501E">
            <w:pPr>
              <w:pStyle w:val="Numbered"/>
              <w:widowControl/>
              <w:spacing w:after="0"/>
              <w:jc w:val="center"/>
              <w:rPr>
                <w:b/>
                <w:sz w:val="20"/>
              </w:rPr>
            </w:pPr>
            <w:r w:rsidRPr="0012203D">
              <w:rPr>
                <w:b/>
                <w:sz w:val="20"/>
              </w:rPr>
              <w:t>(£)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90B2CF9" w14:textId="5642AF13" w:rsidR="00BC0CD9" w:rsidRPr="0012203D" w:rsidRDefault="00BC0CD9" w:rsidP="005A501E">
            <w:pPr>
              <w:pStyle w:val="Numbered"/>
              <w:widowControl/>
              <w:spacing w:after="0"/>
              <w:jc w:val="center"/>
              <w:rPr>
                <w:b/>
                <w:sz w:val="20"/>
              </w:rPr>
            </w:pPr>
            <w:r w:rsidRPr="0012203D">
              <w:rPr>
                <w:b/>
                <w:sz w:val="20"/>
              </w:rPr>
              <w:t>ASSESSED CONTRIBUTION (£)</w:t>
            </w:r>
          </w:p>
        </w:tc>
        <w:tc>
          <w:tcPr>
            <w:tcW w:w="168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CC91FB3" w14:textId="77777777" w:rsidR="005477B3" w:rsidRPr="000F363B" w:rsidRDefault="009377E9" w:rsidP="005A501E">
            <w:pPr>
              <w:pStyle w:val="Numbered"/>
              <w:widowControl/>
              <w:spacing w:after="0"/>
              <w:jc w:val="center"/>
              <w:rPr>
                <w:b/>
                <w:sz w:val="20"/>
              </w:rPr>
            </w:pPr>
            <w:r w:rsidRPr="000F363B">
              <w:rPr>
                <w:b/>
                <w:sz w:val="20"/>
              </w:rPr>
              <w:t>DoH</w:t>
            </w:r>
          </w:p>
          <w:p w14:paraId="4AD20EA9" w14:textId="77777777" w:rsidR="009377E9" w:rsidRPr="000F363B" w:rsidRDefault="009377E9" w:rsidP="005A501E">
            <w:pPr>
              <w:pStyle w:val="Numbered"/>
              <w:widowControl/>
              <w:spacing w:after="0"/>
              <w:jc w:val="center"/>
              <w:rPr>
                <w:b/>
                <w:sz w:val="20"/>
              </w:rPr>
            </w:pPr>
            <w:r w:rsidRPr="000F363B">
              <w:rPr>
                <w:b/>
                <w:sz w:val="20"/>
              </w:rPr>
              <w:t>BURSARY</w:t>
            </w:r>
          </w:p>
          <w:p w14:paraId="77895450" w14:textId="77777777" w:rsidR="00BC0CD9" w:rsidRPr="000F363B" w:rsidRDefault="00BC0CD9" w:rsidP="005A501E">
            <w:pPr>
              <w:pStyle w:val="Numbered"/>
              <w:widowControl/>
              <w:spacing w:after="0"/>
              <w:jc w:val="center"/>
              <w:rPr>
                <w:b/>
                <w:sz w:val="20"/>
              </w:rPr>
            </w:pPr>
            <w:r w:rsidRPr="000F363B">
              <w:rPr>
                <w:b/>
                <w:sz w:val="20"/>
              </w:rPr>
              <w:t>(£)</w:t>
            </w:r>
          </w:p>
        </w:tc>
        <w:tc>
          <w:tcPr>
            <w:tcW w:w="217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A7488FB" w14:textId="77777777" w:rsidR="005477B3" w:rsidRPr="000F363B" w:rsidRDefault="00BC0CD9" w:rsidP="005A501E">
            <w:pPr>
              <w:pStyle w:val="Numbered"/>
              <w:widowControl/>
              <w:spacing w:after="0"/>
              <w:jc w:val="center"/>
              <w:rPr>
                <w:b/>
                <w:sz w:val="20"/>
              </w:rPr>
            </w:pPr>
            <w:r w:rsidRPr="000F363B">
              <w:rPr>
                <w:b/>
                <w:sz w:val="20"/>
              </w:rPr>
              <w:t>MAINTENANCE LOAN</w:t>
            </w:r>
          </w:p>
          <w:p w14:paraId="13B7F235" w14:textId="77777777" w:rsidR="00BC0CD9" w:rsidRPr="000F363B" w:rsidRDefault="00BC0CD9" w:rsidP="005A501E">
            <w:pPr>
              <w:pStyle w:val="Numbered"/>
              <w:widowControl/>
              <w:spacing w:after="0"/>
              <w:jc w:val="center"/>
              <w:rPr>
                <w:b/>
                <w:sz w:val="20"/>
              </w:rPr>
            </w:pPr>
            <w:r w:rsidRPr="000F363B">
              <w:rPr>
                <w:b/>
                <w:sz w:val="20"/>
              </w:rPr>
              <w:t>(£)</w:t>
            </w:r>
          </w:p>
        </w:tc>
        <w:tc>
          <w:tcPr>
            <w:tcW w:w="2082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2D399BF" w14:textId="77777777" w:rsidR="005477B3" w:rsidRPr="000F363B" w:rsidRDefault="00BC0CD9" w:rsidP="005A501E">
            <w:pPr>
              <w:pStyle w:val="Numbered"/>
              <w:widowControl/>
              <w:spacing w:after="0"/>
              <w:jc w:val="center"/>
              <w:rPr>
                <w:b/>
                <w:sz w:val="20"/>
              </w:rPr>
            </w:pPr>
            <w:r w:rsidRPr="000F363B">
              <w:rPr>
                <w:b/>
                <w:sz w:val="20"/>
              </w:rPr>
              <w:t xml:space="preserve">TOTAL </w:t>
            </w:r>
            <w:r w:rsidR="009377E9" w:rsidRPr="000F363B">
              <w:rPr>
                <w:b/>
                <w:sz w:val="20"/>
              </w:rPr>
              <w:t>BURSARY</w:t>
            </w:r>
            <w:r w:rsidRPr="000F363B">
              <w:rPr>
                <w:b/>
                <w:sz w:val="20"/>
              </w:rPr>
              <w:t xml:space="preserve"> PLUS LOAN</w:t>
            </w:r>
          </w:p>
          <w:p w14:paraId="5ABDFA98" w14:textId="77777777" w:rsidR="00BC0CD9" w:rsidRPr="000F363B" w:rsidRDefault="00BC0CD9" w:rsidP="005A501E">
            <w:pPr>
              <w:pStyle w:val="Numbered"/>
              <w:widowControl/>
              <w:spacing w:after="0"/>
              <w:jc w:val="center"/>
              <w:rPr>
                <w:b/>
                <w:sz w:val="20"/>
              </w:rPr>
            </w:pPr>
            <w:r w:rsidRPr="000F363B">
              <w:rPr>
                <w:b/>
                <w:sz w:val="20"/>
              </w:rPr>
              <w:t>(£)</w:t>
            </w:r>
          </w:p>
        </w:tc>
      </w:tr>
      <w:tr w:rsidR="00F944F7" w:rsidRPr="0012203D" w14:paraId="54687270" w14:textId="77777777" w:rsidTr="00FC1B62">
        <w:tc>
          <w:tcPr>
            <w:tcW w:w="195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8C42B0F" w14:textId="77777777" w:rsidR="00F944F7" w:rsidRPr="0012203D" w:rsidRDefault="00F944F7" w:rsidP="005A501E">
            <w:pPr>
              <w:pStyle w:val="Numbered"/>
              <w:widowControl/>
              <w:spacing w:after="0"/>
              <w:jc w:val="center"/>
              <w:rPr>
                <w:b/>
                <w:sz w:val="20"/>
              </w:rPr>
            </w:pPr>
            <w:r w:rsidRPr="0012203D">
              <w:rPr>
                <w:b/>
                <w:sz w:val="20"/>
              </w:rPr>
              <w:t>Student living at home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8B4BD9C" w14:textId="77777777" w:rsidR="00F944F7" w:rsidRPr="0012203D" w:rsidRDefault="00F944F7" w:rsidP="005A501E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</w:p>
        </w:tc>
        <w:tc>
          <w:tcPr>
            <w:tcW w:w="168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8DAD760" w14:textId="77777777" w:rsidR="00F944F7" w:rsidRPr="0012203D" w:rsidRDefault="00F944F7" w:rsidP="005A501E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</w:p>
        </w:tc>
        <w:tc>
          <w:tcPr>
            <w:tcW w:w="122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E853F36" w14:textId="77777777" w:rsidR="00F944F7" w:rsidRPr="0012203D" w:rsidRDefault="005477B3" w:rsidP="005A501E">
            <w:pPr>
              <w:pStyle w:val="Numbered"/>
              <w:widowControl/>
              <w:spacing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Standard Year</w:t>
            </w:r>
          </w:p>
        </w:tc>
        <w:tc>
          <w:tcPr>
            <w:tcW w:w="94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8D6E372" w14:textId="77777777" w:rsidR="00F944F7" w:rsidRPr="0012203D" w:rsidRDefault="005477B3" w:rsidP="005A501E">
            <w:pPr>
              <w:pStyle w:val="Numbered"/>
              <w:widowControl/>
              <w:spacing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Final Year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6E04450" w14:textId="43E9F368" w:rsidR="00F944F7" w:rsidRPr="00FC1B62" w:rsidRDefault="007B1C3D" w:rsidP="005A501E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b/>
                <w:sz w:val="20"/>
              </w:rPr>
              <w:t>Standard Year</w:t>
            </w:r>
          </w:p>
        </w:tc>
        <w:tc>
          <w:tcPr>
            <w:tcW w:w="9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4A977DE" w14:textId="064CB927" w:rsidR="00F944F7" w:rsidRPr="00FC1B62" w:rsidRDefault="007B1C3D" w:rsidP="005A501E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b/>
                <w:sz w:val="20"/>
              </w:rPr>
              <w:t>Final Year</w:t>
            </w:r>
          </w:p>
        </w:tc>
      </w:tr>
      <w:tr w:rsidR="00F944F7" w:rsidRPr="0012203D" w14:paraId="7F786EB6" w14:textId="77777777" w:rsidTr="00FC1B62">
        <w:tc>
          <w:tcPr>
            <w:tcW w:w="195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B1704" w14:textId="77777777" w:rsidR="00F944F7" w:rsidRPr="00FC1B62" w:rsidRDefault="005477B3" w:rsidP="005A501E">
            <w:pPr>
              <w:pStyle w:val="Numbered"/>
              <w:widowControl/>
              <w:spacing w:after="0"/>
              <w:rPr>
                <w:sz w:val="20"/>
              </w:rPr>
            </w:pPr>
            <w:r w:rsidRPr="00FC1B62">
              <w:rPr>
                <w:sz w:val="20"/>
              </w:rPr>
              <w:t xml:space="preserve">       &lt; 24,770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ED69C" w14:textId="77777777" w:rsidR="00F944F7" w:rsidRPr="00FC1B62" w:rsidRDefault="005477B3" w:rsidP="005A501E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0</w:t>
            </w:r>
          </w:p>
        </w:tc>
        <w:tc>
          <w:tcPr>
            <w:tcW w:w="168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BF68F" w14:textId="77777777" w:rsidR="00F944F7" w:rsidRPr="00FC1B62" w:rsidRDefault="005477B3" w:rsidP="005A501E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1,920</w:t>
            </w:r>
          </w:p>
        </w:tc>
        <w:tc>
          <w:tcPr>
            <w:tcW w:w="1223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9B5C92E" w14:textId="697A1E31" w:rsidR="00AC0761" w:rsidRPr="00FC1B62" w:rsidRDefault="00AC0761" w:rsidP="00AC0761">
            <w:pPr>
              <w:pStyle w:val="Numbered"/>
              <w:widowControl/>
              <w:spacing w:after="0"/>
              <w:jc w:val="center"/>
              <w:rPr>
                <w:rFonts w:cs="Arial"/>
                <w:strike/>
                <w:sz w:val="20"/>
              </w:rPr>
            </w:pPr>
          </w:p>
          <w:p w14:paraId="4ADECEA0" w14:textId="29DF61C0" w:rsidR="00BC2F9B" w:rsidRPr="00FC1B62" w:rsidRDefault="001D7579" w:rsidP="00AC0761">
            <w:pPr>
              <w:pStyle w:val="Numbered"/>
              <w:widowControl/>
              <w:spacing w:after="0"/>
              <w:jc w:val="center"/>
              <w:rPr>
                <w:rFonts w:cs="Arial"/>
                <w:strike/>
                <w:sz w:val="20"/>
              </w:rPr>
            </w:pPr>
            <w:r w:rsidRPr="00FC1B62">
              <w:rPr>
                <w:rFonts w:cs="Arial"/>
                <w:sz w:val="20"/>
              </w:rPr>
              <w:t>2991</w:t>
            </w:r>
          </w:p>
        </w:tc>
        <w:tc>
          <w:tcPr>
            <w:tcW w:w="947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5A4E4B6" w14:textId="700F83A4" w:rsidR="001D7579" w:rsidRPr="00FC1B62" w:rsidRDefault="001D7579" w:rsidP="00AC0761">
            <w:pPr>
              <w:pStyle w:val="Numbered"/>
              <w:widowControl/>
              <w:spacing w:after="0"/>
              <w:jc w:val="center"/>
              <w:rPr>
                <w:rFonts w:cs="Arial"/>
                <w:strike/>
                <w:sz w:val="20"/>
              </w:rPr>
            </w:pPr>
          </w:p>
          <w:p w14:paraId="60A9A192" w14:textId="71B270F9" w:rsidR="00F944F7" w:rsidRPr="00FC1B62" w:rsidRDefault="001D7579" w:rsidP="00AC0761">
            <w:pPr>
              <w:pStyle w:val="Numbered"/>
              <w:widowControl/>
              <w:spacing w:after="0"/>
              <w:jc w:val="center"/>
              <w:rPr>
                <w:rFonts w:cs="Arial"/>
                <w:sz w:val="20"/>
              </w:rPr>
            </w:pPr>
            <w:r w:rsidRPr="00FC1B62">
              <w:rPr>
                <w:rFonts w:cs="Arial"/>
                <w:sz w:val="20"/>
              </w:rPr>
              <w:t>2268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6A848E3" w14:textId="222F1FDC" w:rsidR="00F944F7" w:rsidRPr="00FC1B62" w:rsidRDefault="001D7579" w:rsidP="00AC0761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 xml:space="preserve"> 4,911</w:t>
            </w:r>
          </w:p>
        </w:tc>
        <w:tc>
          <w:tcPr>
            <w:tcW w:w="948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F44DF2D" w14:textId="129850F4" w:rsidR="00F944F7" w:rsidRPr="00FC1B62" w:rsidRDefault="00F944F7" w:rsidP="005A501E">
            <w:pPr>
              <w:pStyle w:val="Numbered"/>
              <w:widowControl/>
              <w:spacing w:after="0"/>
              <w:jc w:val="center"/>
              <w:rPr>
                <w:strike/>
                <w:sz w:val="20"/>
              </w:rPr>
            </w:pPr>
          </w:p>
          <w:p w14:paraId="6101070D" w14:textId="11D08DF6" w:rsidR="00AC0761" w:rsidRPr="00FC1B62" w:rsidRDefault="00AC0761" w:rsidP="005A501E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4,188</w:t>
            </w:r>
          </w:p>
        </w:tc>
      </w:tr>
      <w:tr w:rsidR="001D7579" w:rsidRPr="0012203D" w14:paraId="66E175AB" w14:textId="77777777" w:rsidTr="00FC1B62"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C3906" w14:textId="77777777" w:rsidR="001D7579" w:rsidRPr="00FC1B62" w:rsidRDefault="001D7579" w:rsidP="001D7579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24,770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46D3B" w14:textId="77777777" w:rsidR="001D7579" w:rsidRPr="00FC1B62" w:rsidRDefault="001D7579" w:rsidP="001D7579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45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F1FF0" w14:textId="77777777" w:rsidR="001D7579" w:rsidRPr="00FC1B62" w:rsidRDefault="001D7579" w:rsidP="001D7579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1,875</w:t>
            </w:r>
          </w:p>
        </w:tc>
        <w:tc>
          <w:tcPr>
            <w:tcW w:w="1223" w:type="dxa"/>
            <w:tcBorders>
              <w:left w:val="single" w:sz="6" w:space="0" w:color="auto"/>
              <w:right w:val="single" w:sz="6" w:space="0" w:color="auto"/>
            </w:tcBorders>
          </w:tcPr>
          <w:p w14:paraId="1FE618D4" w14:textId="1BB42E0C" w:rsidR="00AC0761" w:rsidRPr="00FC1B62" w:rsidRDefault="00AC0761" w:rsidP="00AC0761">
            <w:pPr>
              <w:jc w:val="center"/>
              <w:rPr>
                <w:rFonts w:ascii="Arial" w:hAnsi="Arial" w:cs="Arial"/>
                <w:strike/>
                <w:sz w:val="20"/>
              </w:rPr>
            </w:pPr>
          </w:p>
          <w:p w14:paraId="45391A2C" w14:textId="4DF3E006" w:rsidR="001D7579" w:rsidRPr="00FC1B62" w:rsidRDefault="001D7579" w:rsidP="00AC0761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C1B62">
              <w:rPr>
                <w:rFonts w:ascii="Arial" w:hAnsi="Arial" w:cs="Arial"/>
                <w:sz w:val="20"/>
              </w:rPr>
              <w:t>2991</w:t>
            </w:r>
          </w:p>
        </w:tc>
        <w:tc>
          <w:tcPr>
            <w:tcW w:w="94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41F8C70" w14:textId="2F0F7516" w:rsidR="001D7579" w:rsidRPr="00FC1B62" w:rsidRDefault="001D7579" w:rsidP="00AC0761">
            <w:pPr>
              <w:pStyle w:val="Numbered"/>
              <w:widowControl/>
              <w:spacing w:after="0"/>
              <w:jc w:val="center"/>
              <w:rPr>
                <w:rFonts w:cs="Arial"/>
                <w:strike/>
                <w:sz w:val="20"/>
              </w:rPr>
            </w:pPr>
          </w:p>
          <w:p w14:paraId="3AADD79C" w14:textId="695B705D" w:rsidR="001D7579" w:rsidRPr="00FC1B62" w:rsidRDefault="001D7579" w:rsidP="00AC0761">
            <w:pPr>
              <w:jc w:val="center"/>
              <w:rPr>
                <w:rFonts w:ascii="Arial" w:hAnsi="Arial" w:cs="Arial"/>
              </w:rPr>
            </w:pPr>
            <w:r w:rsidRPr="00FC1B62">
              <w:rPr>
                <w:rFonts w:ascii="Arial" w:hAnsi="Arial" w:cs="Arial"/>
                <w:sz w:val="20"/>
              </w:rPr>
              <w:t>2268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A355C68" w14:textId="3AC475B2" w:rsidR="001D7579" w:rsidRPr="00FC1B62" w:rsidRDefault="001D7579" w:rsidP="00AC0761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 xml:space="preserve"> 4,866</w:t>
            </w:r>
          </w:p>
        </w:tc>
        <w:tc>
          <w:tcPr>
            <w:tcW w:w="94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07FE879" w14:textId="1B836DF4" w:rsidR="001D7579" w:rsidRPr="00FC1B62" w:rsidRDefault="001D7579" w:rsidP="001D7579">
            <w:pPr>
              <w:pStyle w:val="Numbered"/>
              <w:widowControl/>
              <w:spacing w:after="0"/>
              <w:jc w:val="center"/>
              <w:rPr>
                <w:strike/>
                <w:sz w:val="20"/>
              </w:rPr>
            </w:pPr>
          </w:p>
          <w:p w14:paraId="2C26C85E" w14:textId="513CD67D" w:rsidR="00AC0761" w:rsidRPr="00FC1B62" w:rsidRDefault="00AC0761" w:rsidP="001D7579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4,143</w:t>
            </w:r>
          </w:p>
        </w:tc>
      </w:tr>
      <w:tr w:rsidR="001D7579" w:rsidRPr="0012203D" w14:paraId="2650F60A" w14:textId="77777777" w:rsidTr="00FC1B62"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C11CF" w14:textId="77777777" w:rsidR="001D7579" w:rsidRPr="00FC1B62" w:rsidRDefault="001D7579" w:rsidP="001D7579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30,000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43998" w14:textId="77777777" w:rsidR="001D7579" w:rsidRPr="00FC1B62" w:rsidRDefault="001D7579" w:rsidP="001D7579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595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525EC0" w14:textId="77777777" w:rsidR="001D7579" w:rsidRPr="00FC1B62" w:rsidRDefault="001D7579" w:rsidP="001D7579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1,325</w:t>
            </w:r>
          </w:p>
        </w:tc>
        <w:tc>
          <w:tcPr>
            <w:tcW w:w="1223" w:type="dxa"/>
            <w:tcBorders>
              <w:left w:val="single" w:sz="6" w:space="0" w:color="auto"/>
              <w:right w:val="single" w:sz="6" w:space="0" w:color="auto"/>
            </w:tcBorders>
          </w:tcPr>
          <w:p w14:paraId="697AAC4B" w14:textId="5F548877" w:rsidR="00AC0761" w:rsidRPr="00FC1B62" w:rsidRDefault="00AC0761" w:rsidP="00AC0761">
            <w:pPr>
              <w:jc w:val="center"/>
              <w:rPr>
                <w:rFonts w:ascii="Arial" w:hAnsi="Arial" w:cs="Arial"/>
                <w:strike/>
                <w:sz w:val="20"/>
              </w:rPr>
            </w:pPr>
          </w:p>
          <w:p w14:paraId="3D09C01F" w14:textId="59533DE7" w:rsidR="001D7579" w:rsidRPr="00FC1B62" w:rsidRDefault="001D7579" w:rsidP="00AC0761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C1B62">
              <w:rPr>
                <w:rFonts w:ascii="Arial" w:hAnsi="Arial" w:cs="Arial"/>
                <w:sz w:val="20"/>
              </w:rPr>
              <w:t>2991</w:t>
            </w:r>
          </w:p>
        </w:tc>
        <w:tc>
          <w:tcPr>
            <w:tcW w:w="94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AD16289" w14:textId="3AC4C6B9" w:rsidR="001D7579" w:rsidRPr="00FC1B62" w:rsidRDefault="001D7579" w:rsidP="00AC0761">
            <w:pPr>
              <w:pStyle w:val="Numbered"/>
              <w:widowControl/>
              <w:spacing w:after="0"/>
              <w:jc w:val="center"/>
              <w:rPr>
                <w:rFonts w:cs="Arial"/>
                <w:strike/>
                <w:sz w:val="20"/>
              </w:rPr>
            </w:pPr>
          </w:p>
          <w:p w14:paraId="3A1C2CF8" w14:textId="0DBDF5EB" w:rsidR="001D7579" w:rsidRPr="00FC1B62" w:rsidRDefault="001D7579" w:rsidP="00AC0761">
            <w:pPr>
              <w:jc w:val="center"/>
              <w:rPr>
                <w:rFonts w:ascii="Arial" w:hAnsi="Arial" w:cs="Arial"/>
              </w:rPr>
            </w:pPr>
            <w:r w:rsidRPr="00FC1B62">
              <w:rPr>
                <w:rFonts w:ascii="Arial" w:hAnsi="Arial" w:cs="Arial"/>
                <w:sz w:val="20"/>
              </w:rPr>
              <w:t>2268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3CE2FDE" w14:textId="1A3D74AF" w:rsidR="001D7579" w:rsidRPr="00FC1B62" w:rsidRDefault="001D7579" w:rsidP="00AC0761">
            <w:pPr>
              <w:pStyle w:val="Numbered"/>
              <w:widowControl/>
              <w:spacing w:after="0"/>
              <w:jc w:val="center"/>
              <w:rPr>
                <w:strike/>
                <w:sz w:val="20"/>
              </w:rPr>
            </w:pPr>
          </w:p>
          <w:p w14:paraId="65F5F969" w14:textId="2129458D" w:rsidR="001D7579" w:rsidRPr="00FC1B62" w:rsidRDefault="001D7579" w:rsidP="00AC0761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4,316</w:t>
            </w:r>
          </w:p>
        </w:tc>
        <w:tc>
          <w:tcPr>
            <w:tcW w:w="94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35B4552" w14:textId="5F18E6FA" w:rsidR="001D7579" w:rsidRPr="00FC1B62" w:rsidRDefault="001D7579" w:rsidP="001D7579">
            <w:pPr>
              <w:pStyle w:val="Numbered"/>
              <w:widowControl/>
              <w:spacing w:after="0"/>
              <w:jc w:val="center"/>
              <w:rPr>
                <w:strike/>
                <w:sz w:val="20"/>
              </w:rPr>
            </w:pPr>
          </w:p>
          <w:p w14:paraId="286E30C0" w14:textId="6219B629" w:rsidR="00AC0761" w:rsidRPr="00FC1B62" w:rsidRDefault="00AC0761" w:rsidP="001D7579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3,593</w:t>
            </w:r>
          </w:p>
        </w:tc>
      </w:tr>
      <w:tr w:rsidR="001D7579" w:rsidRPr="0012203D" w14:paraId="36DB08E7" w14:textId="77777777" w:rsidTr="00FC1B62"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BB1A2" w14:textId="77777777" w:rsidR="001D7579" w:rsidRPr="00FC1B62" w:rsidRDefault="001D7579" w:rsidP="001D7579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35,000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A38B7" w14:textId="77777777" w:rsidR="001D7579" w:rsidRPr="00FC1B62" w:rsidRDefault="001D7579" w:rsidP="001D7579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1,121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EAC67" w14:textId="77777777" w:rsidR="001D7579" w:rsidRPr="00FC1B62" w:rsidRDefault="001D7579" w:rsidP="001D7579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799</w:t>
            </w:r>
          </w:p>
        </w:tc>
        <w:tc>
          <w:tcPr>
            <w:tcW w:w="1223" w:type="dxa"/>
            <w:tcBorders>
              <w:left w:val="single" w:sz="6" w:space="0" w:color="auto"/>
              <w:right w:val="single" w:sz="6" w:space="0" w:color="auto"/>
            </w:tcBorders>
          </w:tcPr>
          <w:p w14:paraId="40E5B25B" w14:textId="777502B5" w:rsidR="00AC0761" w:rsidRPr="00FC1B62" w:rsidRDefault="00AC0761" w:rsidP="00AC0761">
            <w:pPr>
              <w:jc w:val="center"/>
              <w:rPr>
                <w:rFonts w:ascii="Arial" w:hAnsi="Arial" w:cs="Arial"/>
                <w:strike/>
                <w:sz w:val="20"/>
              </w:rPr>
            </w:pPr>
          </w:p>
          <w:p w14:paraId="17E8E93A" w14:textId="2230B03C" w:rsidR="001D7579" w:rsidRPr="00FC1B62" w:rsidRDefault="001D7579" w:rsidP="00AC0761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C1B62">
              <w:rPr>
                <w:rFonts w:ascii="Arial" w:hAnsi="Arial" w:cs="Arial"/>
                <w:sz w:val="20"/>
              </w:rPr>
              <w:t>2991</w:t>
            </w:r>
          </w:p>
        </w:tc>
        <w:tc>
          <w:tcPr>
            <w:tcW w:w="94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B3DD6AA" w14:textId="4B9B8D1A" w:rsidR="001D7579" w:rsidRPr="00FC1B62" w:rsidRDefault="001D7579" w:rsidP="00AC0761">
            <w:pPr>
              <w:pStyle w:val="Numbered"/>
              <w:widowControl/>
              <w:spacing w:after="0"/>
              <w:jc w:val="center"/>
              <w:rPr>
                <w:rFonts w:cs="Arial"/>
                <w:strike/>
                <w:sz w:val="20"/>
              </w:rPr>
            </w:pPr>
          </w:p>
          <w:p w14:paraId="5D4808A5" w14:textId="3E61363D" w:rsidR="001D7579" w:rsidRPr="00FC1B62" w:rsidRDefault="001D7579" w:rsidP="00AC0761">
            <w:pPr>
              <w:jc w:val="center"/>
              <w:rPr>
                <w:rFonts w:ascii="Arial" w:hAnsi="Arial" w:cs="Arial"/>
              </w:rPr>
            </w:pPr>
            <w:r w:rsidRPr="00FC1B62">
              <w:rPr>
                <w:rFonts w:ascii="Arial" w:hAnsi="Arial" w:cs="Arial"/>
                <w:sz w:val="20"/>
              </w:rPr>
              <w:t>2268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F809316" w14:textId="0CFBBFC3" w:rsidR="001D7579" w:rsidRPr="00FC1B62" w:rsidRDefault="001D7579" w:rsidP="00AC0761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 xml:space="preserve"> 3,790</w:t>
            </w:r>
          </w:p>
        </w:tc>
        <w:tc>
          <w:tcPr>
            <w:tcW w:w="94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F9BBB19" w14:textId="0432621B" w:rsidR="001D7579" w:rsidRPr="00FC1B62" w:rsidRDefault="001D7579" w:rsidP="001D7579">
            <w:pPr>
              <w:pStyle w:val="Numbered"/>
              <w:widowControl/>
              <w:spacing w:after="0"/>
              <w:jc w:val="center"/>
              <w:rPr>
                <w:strike/>
                <w:sz w:val="20"/>
              </w:rPr>
            </w:pPr>
          </w:p>
          <w:p w14:paraId="7297711B" w14:textId="2CEAE85E" w:rsidR="00AC0761" w:rsidRPr="00FC1B62" w:rsidRDefault="00AC0761" w:rsidP="001D7579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3,067</w:t>
            </w:r>
          </w:p>
        </w:tc>
      </w:tr>
      <w:tr w:rsidR="001D7579" w:rsidRPr="0012203D" w14:paraId="63F61FC7" w14:textId="77777777" w:rsidTr="00FC1B62"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15592" w14:textId="77777777" w:rsidR="001D7579" w:rsidRPr="00FC1B62" w:rsidRDefault="001D7579" w:rsidP="001D7579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40,000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C78BD" w14:textId="77777777" w:rsidR="001D7579" w:rsidRPr="00FC1B62" w:rsidRDefault="001D7579" w:rsidP="001D7579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1,648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0B511" w14:textId="77777777" w:rsidR="001D7579" w:rsidRPr="00FC1B62" w:rsidRDefault="001D7579" w:rsidP="001D7579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272</w:t>
            </w:r>
          </w:p>
        </w:tc>
        <w:tc>
          <w:tcPr>
            <w:tcW w:w="1223" w:type="dxa"/>
            <w:tcBorders>
              <w:left w:val="single" w:sz="6" w:space="0" w:color="auto"/>
              <w:right w:val="single" w:sz="6" w:space="0" w:color="auto"/>
            </w:tcBorders>
          </w:tcPr>
          <w:p w14:paraId="3A2129E8" w14:textId="2F0C1FF7" w:rsidR="00AC0761" w:rsidRPr="00FC1B62" w:rsidRDefault="00AC0761" w:rsidP="00AC0761">
            <w:pPr>
              <w:jc w:val="center"/>
              <w:rPr>
                <w:rFonts w:ascii="Arial" w:hAnsi="Arial" w:cs="Arial"/>
                <w:strike/>
                <w:sz w:val="20"/>
              </w:rPr>
            </w:pPr>
          </w:p>
          <w:p w14:paraId="690F0ED0" w14:textId="46F82E9D" w:rsidR="001D7579" w:rsidRPr="00FC1B62" w:rsidRDefault="001D7579" w:rsidP="00AC0761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C1B62">
              <w:rPr>
                <w:rFonts w:ascii="Arial" w:hAnsi="Arial" w:cs="Arial"/>
                <w:sz w:val="20"/>
              </w:rPr>
              <w:t>2991</w:t>
            </w:r>
          </w:p>
        </w:tc>
        <w:tc>
          <w:tcPr>
            <w:tcW w:w="94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CB0978A" w14:textId="2BE35994" w:rsidR="001D7579" w:rsidRPr="00FC1B62" w:rsidRDefault="001D7579" w:rsidP="00AC0761">
            <w:pPr>
              <w:pStyle w:val="Numbered"/>
              <w:widowControl/>
              <w:spacing w:after="0"/>
              <w:jc w:val="center"/>
              <w:rPr>
                <w:rFonts w:cs="Arial"/>
                <w:strike/>
                <w:sz w:val="20"/>
              </w:rPr>
            </w:pPr>
          </w:p>
          <w:p w14:paraId="01B81FE7" w14:textId="5DB24EBD" w:rsidR="001D7579" w:rsidRPr="00FC1B62" w:rsidRDefault="001D7579" w:rsidP="00AC0761">
            <w:pPr>
              <w:jc w:val="center"/>
              <w:rPr>
                <w:rFonts w:ascii="Arial" w:hAnsi="Arial" w:cs="Arial"/>
              </w:rPr>
            </w:pPr>
            <w:r w:rsidRPr="00FC1B62">
              <w:rPr>
                <w:rFonts w:ascii="Arial" w:hAnsi="Arial" w:cs="Arial"/>
                <w:sz w:val="20"/>
              </w:rPr>
              <w:t>2268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FAC8855" w14:textId="354E4144" w:rsidR="001D7579" w:rsidRPr="00FC1B62" w:rsidRDefault="00AC0761" w:rsidP="00AC0761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 xml:space="preserve"> 3,263</w:t>
            </w:r>
          </w:p>
        </w:tc>
        <w:tc>
          <w:tcPr>
            <w:tcW w:w="94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DA0B169" w14:textId="48565976" w:rsidR="001D7579" w:rsidRPr="00FC1B62" w:rsidRDefault="001D7579" w:rsidP="001D7579">
            <w:pPr>
              <w:pStyle w:val="Numbered"/>
              <w:widowControl/>
              <w:spacing w:after="0"/>
              <w:jc w:val="center"/>
              <w:rPr>
                <w:strike/>
                <w:sz w:val="20"/>
              </w:rPr>
            </w:pPr>
          </w:p>
          <w:p w14:paraId="68F6ED2F" w14:textId="66FE1621" w:rsidR="00AC0761" w:rsidRPr="00FC1B62" w:rsidRDefault="00AC0761" w:rsidP="001D7579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2,540</w:t>
            </w:r>
          </w:p>
        </w:tc>
      </w:tr>
      <w:tr w:rsidR="001D7579" w:rsidRPr="0012203D" w14:paraId="42C2E41D" w14:textId="77777777" w:rsidTr="00FC1B62"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E1139" w14:textId="77777777" w:rsidR="001D7579" w:rsidRPr="00FC1B62" w:rsidRDefault="001D7579" w:rsidP="001D7579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42,589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7A22F" w14:textId="77777777" w:rsidR="001D7579" w:rsidRPr="00FC1B62" w:rsidRDefault="001D7579" w:rsidP="001D7579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1,920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59CE6" w14:textId="77777777" w:rsidR="001D7579" w:rsidRPr="00FC1B62" w:rsidRDefault="001D7579" w:rsidP="001D7579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0</w:t>
            </w:r>
          </w:p>
        </w:tc>
        <w:tc>
          <w:tcPr>
            <w:tcW w:w="122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F2FA" w14:textId="354B6F47" w:rsidR="00AC0761" w:rsidRPr="00FC1B62" w:rsidRDefault="00AC0761" w:rsidP="00AC0761">
            <w:pPr>
              <w:jc w:val="center"/>
              <w:rPr>
                <w:rFonts w:ascii="Arial" w:hAnsi="Arial" w:cs="Arial"/>
                <w:strike/>
                <w:sz w:val="20"/>
              </w:rPr>
            </w:pPr>
          </w:p>
          <w:p w14:paraId="0B90E366" w14:textId="25518033" w:rsidR="001D7579" w:rsidRPr="00FC1B62" w:rsidRDefault="001D7579" w:rsidP="00AC0761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C1B62">
              <w:rPr>
                <w:rFonts w:ascii="Arial" w:hAnsi="Arial" w:cs="Arial"/>
                <w:sz w:val="20"/>
              </w:rPr>
              <w:t>2991</w:t>
            </w:r>
          </w:p>
        </w:tc>
        <w:tc>
          <w:tcPr>
            <w:tcW w:w="94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968E7" w14:textId="7AB3A813" w:rsidR="001D7579" w:rsidRPr="00FC1B62" w:rsidRDefault="001D7579" w:rsidP="00AC0761">
            <w:pPr>
              <w:pStyle w:val="Numbered"/>
              <w:widowControl/>
              <w:spacing w:after="0"/>
              <w:jc w:val="center"/>
              <w:rPr>
                <w:rFonts w:cs="Arial"/>
                <w:strike/>
                <w:sz w:val="20"/>
              </w:rPr>
            </w:pPr>
          </w:p>
          <w:p w14:paraId="50706A3D" w14:textId="4CBA1BB7" w:rsidR="001D7579" w:rsidRPr="00FC1B62" w:rsidRDefault="001D7579" w:rsidP="00AC0761">
            <w:pPr>
              <w:jc w:val="center"/>
              <w:rPr>
                <w:rFonts w:ascii="Arial" w:hAnsi="Arial" w:cs="Arial"/>
              </w:rPr>
            </w:pPr>
            <w:r w:rsidRPr="00FC1B62">
              <w:rPr>
                <w:rFonts w:ascii="Arial" w:hAnsi="Arial" w:cs="Arial"/>
                <w:sz w:val="20"/>
              </w:rPr>
              <w:t>2268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3A88A1E" w14:textId="3BB6DE4D" w:rsidR="001D7579" w:rsidRPr="00FC1B62" w:rsidRDefault="00AC0761" w:rsidP="00AC0761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 xml:space="preserve"> 2,991</w:t>
            </w:r>
          </w:p>
        </w:tc>
        <w:tc>
          <w:tcPr>
            <w:tcW w:w="948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5655A73" w14:textId="1A4357E8" w:rsidR="001D7579" w:rsidRPr="00FC1B62" w:rsidRDefault="001D7579" w:rsidP="001D7579">
            <w:pPr>
              <w:pStyle w:val="Numbered"/>
              <w:widowControl/>
              <w:spacing w:after="0"/>
              <w:jc w:val="center"/>
              <w:rPr>
                <w:strike/>
                <w:sz w:val="20"/>
              </w:rPr>
            </w:pPr>
          </w:p>
          <w:p w14:paraId="73C76036" w14:textId="0D5F860E" w:rsidR="00AC0761" w:rsidRPr="00FC1B62" w:rsidRDefault="00AC0761" w:rsidP="001D7579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2,268</w:t>
            </w:r>
          </w:p>
        </w:tc>
      </w:tr>
      <w:tr w:rsidR="005477B3" w:rsidRPr="0012203D" w14:paraId="792CF52E" w14:textId="77777777" w:rsidTr="00FC1B62">
        <w:trPr>
          <w:trHeight w:val="578"/>
        </w:trPr>
        <w:tc>
          <w:tcPr>
            <w:tcW w:w="195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9B606F9" w14:textId="77777777" w:rsidR="005477B3" w:rsidRPr="00FC1B62" w:rsidRDefault="005477B3" w:rsidP="005A501E">
            <w:pPr>
              <w:pStyle w:val="Numbered"/>
              <w:widowControl/>
              <w:spacing w:after="0"/>
              <w:jc w:val="center"/>
              <w:rPr>
                <w:b/>
                <w:sz w:val="20"/>
              </w:rPr>
            </w:pPr>
            <w:r w:rsidRPr="00FC1B62">
              <w:rPr>
                <w:b/>
                <w:sz w:val="20"/>
              </w:rPr>
              <w:t>Student living in lodgings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7366183" w14:textId="77777777" w:rsidR="005477B3" w:rsidRPr="00FC1B62" w:rsidRDefault="005477B3" w:rsidP="005A501E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</w:p>
        </w:tc>
        <w:tc>
          <w:tcPr>
            <w:tcW w:w="168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C47BD60" w14:textId="77777777" w:rsidR="005477B3" w:rsidRPr="00FC1B62" w:rsidRDefault="005477B3" w:rsidP="005A501E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</w:p>
          <w:p w14:paraId="5738DD19" w14:textId="77777777" w:rsidR="005477B3" w:rsidRPr="00FC1B62" w:rsidRDefault="005477B3" w:rsidP="005A501E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</w:p>
        </w:tc>
        <w:tc>
          <w:tcPr>
            <w:tcW w:w="122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B86DE06" w14:textId="77777777" w:rsidR="005477B3" w:rsidRPr="00FC1B62" w:rsidRDefault="005477B3" w:rsidP="005A501E">
            <w:pPr>
              <w:pStyle w:val="Numbered"/>
              <w:widowControl/>
              <w:spacing w:after="0"/>
              <w:jc w:val="center"/>
              <w:rPr>
                <w:b/>
                <w:sz w:val="20"/>
              </w:rPr>
            </w:pPr>
            <w:r w:rsidRPr="00FC1B62">
              <w:rPr>
                <w:b/>
                <w:sz w:val="20"/>
              </w:rPr>
              <w:t>Standard Year</w:t>
            </w:r>
          </w:p>
        </w:tc>
        <w:tc>
          <w:tcPr>
            <w:tcW w:w="94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0007322" w14:textId="77777777" w:rsidR="005477B3" w:rsidRPr="00FC1B62" w:rsidRDefault="005477B3" w:rsidP="005A501E">
            <w:pPr>
              <w:pStyle w:val="Numbered"/>
              <w:widowControl/>
              <w:spacing w:after="0"/>
              <w:jc w:val="center"/>
              <w:rPr>
                <w:b/>
                <w:sz w:val="20"/>
              </w:rPr>
            </w:pPr>
            <w:r w:rsidRPr="00FC1B62">
              <w:rPr>
                <w:b/>
                <w:sz w:val="20"/>
              </w:rPr>
              <w:t>Final Year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C4DA8DB" w14:textId="020F653A" w:rsidR="005477B3" w:rsidRPr="00FC1B62" w:rsidRDefault="007B1C3D" w:rsidP="005A501E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b/>
                <w:sz w:val="20"/>
              </w:rPr>
              <w:t>Standard Year</w:t>
            </w:r>
          </w:p>
        </w:tc>
        <w:tc>
          <w:tcPr>
            <w:tcW w:w="9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A53BAAA" w14:textId="2AEFE758" w:rsidR="005477B3" w:rsidRPr="00FC1B62" w:rsidRDefault="007B1C3D" w:rsidP="005A501E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b/>
                <w:sz w:val="20"/>
              </w:rPr>
              <w:t>Final Year</w:t>
            </w:r>
          </w:p>
        </w:tc>
      </w:tr>
      <w:tr w:rsidR="005477B3" w:rsidRPr="0012203D" w14:paraId="645492EC" w14:textId="77777777" w:rsidTr="00FC1B62">
        <w:tc>
          <w:tcPr>
            <w:tcW w:w="195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C6D56E" w14:textId="77777777" w:rsidR="005477B3" w:rsidRPr="00FC1B62" w:rsidRDefault="005477B3" w:rsidP="005A501E">
            <w:pPr>
              <w:pStyle w:val="Numbered"/>
              <w:widowControl/>
              <w:spacing w:after="0"/>
              <w:rPr>
                <w:sz w:val="20"/>
              </w:rPr>
            </w:pPr>
            <w:r w:rsidRPr="00FC1B62">
              <w:rPr>
                <w:sz w:val="20"/>
              </w:rPr>
              <w:t xml:space="preserve">       &lt; 24,770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F6B036" w14:textId="77777777" w:rsidR="005477B3" w:rsidRPr="00FC1B62" w:rsidRDefault="005477B3" w:rsidP="005A501E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0</w:t>
            </w:r>
          </w:p>
        </w:tc>
        <w:tc>
          <w:tcPr>
            <w:tcW w:w="168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2B386" w14:textId="77777777" w:rsidR="005477B3" w:rsidRPr="00FC1B62" w:rsidRDefault="005477B3" w:rsidP="005A501E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2,355</w:t>
            </w:r>
          </w:p>
        </w:tc>
        <w:tc>
          <w:tcPr>
            <w:tcW w:w="1223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01ACA9C" w14:textId="14C806D1" w:rsidR="005477B3" w:rsidRPr="00FC1B62" w:rsidRDefault="005477B3" w:rsidP="005A501E">
            <w:pPr>
              <w:pStyle w:val="Numbered"/>
              <w:widowControl/>
              <w:spacing w:after="0"/>
              <w:jc w:val="center"/>
              <w:rPr>
                <w:rFonts w:cs="Arial"/>
                <w:strike/>
                <w:sz w:val="20"/>
              </w:rPr>
            </w:pPr>
          </w:p>
          <w:p w14:paraId="4A3E0674" w14:textId="49F61619" w:rsidR="00AC0761" w:rsidRPr="00FC1B62" w:rsidRDefault="00AC0761" w:rsidP="005A501E">
            <w:pPr>
              <w:pStyle w:val="Numbered"/>
              <w:widowControl/>
              <w:spacing w:after="0"/>
              <w:jc w:val="center"/>
              <w:rPr>
                <w:rFonts w:cs="Arial"/>
                <w:sz w:val="20"/>
              </w:rPr>
            </w:pPr>
            <w:r w:rsidRPr="00FC1B62">
              <w:rPr>
                <w:rFonts w:cs="Arial"/>
                <w:sz w:val="20"/>
              </w:rPr>
              <w:t>3,982</w:t>
            </w:r>
          </w:p>
        </w:tc>
        <w:tc>
          <w:tcPr>
            <w:tcW w:w="947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D54B356" w14:textId="314D1E1B" w:rsidR="005477B3" w:rsidRPr="00FC1B62" w:rsidRDefault="005477B3" w:rsidP="005A501E">
            <w:pPr>
              <w:pStyle w:val="Numbered"/>
              <w:widowControl/>
              <w:spacing w:after="0"/>
              <w:jc w:val="center"/>
              <w:rPr>
                <w:rFonts w:cs="Arial"/>
                <w:strike/>
                <w:sz w:val="20"/>
              </w:rPr>
            </w:pPr>
          </w:p>
          <w:p w14:paraId="488A7AC3" w14:textId="723ED659" w:rsidR="00AC0761" w:rsidRPr="00FC1B62" w:rsidRDefault="00AC0761" w:rsidP="005A501E">
            <w:pPr>
              <w:pStyle w:val="Numbered"/>
              <w:widowControl/>
              <w:spacing w:after="0"/>
              <w:jc w:val="center"/>
              <w:rPr>
                <w:rFonts w:cs="Arial"/>
                <w:sz w:val="20"/>
              </w:rPr>
            </w:pPr>
            <w:r w:rsidRPr="00FC1B62">
              <w:rPr>
                <w:rFonts w:cs="Arial"/>
                <w:sz w:val="20"/>
              </w:rPr>
              <w:t>3,108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199E64E" w14:textId="01B28BE5" w:rsidR="005477B3" w:rsidRPr="00FC1B62" w:rsidRDefault="005477B3" w:rsidP="005A501E">
            <w:pPr>
              <w:pStyle w:val="Numbered"/>
              <w:widowControl/>
              <w:spacing w:after="0"/>
              <w:jc w:val="center"/>
              <w:rPr>
                <w:strike/>
                <w:sz w:val="20"/>
              </w:rPr>
            </w:pPr>
          </w:p>
          <w:p w14:paraId="039476E4" w14:textId="0B309B5B" w:rsidR="00AC0761" w:rsidRPr="00FC1B62" w:rsidRDefault="00AC0761" w:rsidP="005A501E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6,337</w:t>
            </w:r>
          </w:p>
        </w:tc>
        <w:tc>
          <w:tcPr>
            <w:tcW w:w="948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E98EE6" w14:textId="5FDE7597" w:rsidR="005477B3" w:rsidRPr="00FC1B62" w:rsidRDefault="005477B3" w:rsidP="005A501E">
            <w:pPr>
              <w:pStyle w:val="Numbered"/>
              <w:widowControl/>
              <w:spacing w:after="0"/>
              <w:jc w:val="center"/>
              <w:rPr>
                <w:strike/>
                <w:sz w:val="20"/>
              </w:rPr>
            </w:pPr>
          </w:p>
          <w:p w14:paraId="71A1B974" w14:textId="4638A116" w:rsidR="00AC0761" w:rsidRPr="00FC1B62" w:rsidRDefault="00AC0761" w:rsidP="005A501E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5,463</w:t>
            </w:r>
          </w:p>
        </w:tc>
      </w:tr>
      <w:tr w:rsidR="00AC0761" w:rsidRPr="0012203D" w14:paraId="0F1F3CB3" w14:textId="77777777" w:rsidTr="00FC1B62"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54446" w14:textId="77777777" w:rsidR="00AC0761" w:rsidRPr="00FC1B62" w:rsidRDefault="00AC0761" w:rsidP="00AC0761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24,770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68F16B" w14:textId="77777777" w:rsidR="00AC0761" w:rsidRPr="00FC1B62" w:rsidRDefault="00AC0761" w:rsidP="00AC0761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45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2745A" w14:textId="77777777" w:rsidR="00AC0761" w:rsidRPr="00FC1B62" w:rsidRDefault="00AC0761" w:rsidP="00AC0761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2,310</w:t>
            </w:r>
          </w:p>
        </w:tc>
        <w:tc>
          <w:tcPr>
            <w:tcW w:w="122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528B303" w14:textId="6BA50038" w:rsidR="00AC0761" w:rsidRPr="00FC1B62" w:rsidRDefault="00AC0761" w:rsidP="00AC0761">
            <w:pPr>
              <w:pStyle w:val="Numbered"/>
              <w:widowControl/>
              <w:spacing w:after="0"/>
              <w:jc w:val="center"/>
              <w:rPr>
                <w:rFonts w:cs="Arial"/>
                <w:strike/>
                <w:sz w:val="20"/>
              </w:rPr>
            </w:pPr>
          </w:p>
          <w:p w14:paraId="6236A2C5" w14:textId="0568294C" w:rsidR="00AC0761" w:rsidRPr="00FC1B62" w:rsidRDefault="00AC0761" w:rsidP="00AC0761">
            <w:pPr>
              <w:jc w:val="center"/>
              <w:rPr>
                <w:rFonts w:ascii="Arial" w:hAnsi="Arial" w:cs="Arial"/>
              </w:rPr>
            </w:pPr>
            <w:r w:rsidRPr="00FC1B62">
              <w:rPr>
                <w:rFonts w:ascii="Arial" w:hAnsi="Arial" w:cs="Arial"/>
                <w:sz w:val="20"/>
              </w:rPr>
              <w:t>3,982</w:t>
            </w:r>
          </w:p>
        </w:tc>
        <w:tc>
          <w:tcPr>
            <w:tcW w:w="94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C82116C" w14:textId="684FB1D1" w:rsidR="00AC0761" w:rsidRPr="00FC1B62" w:rsidRDefault="00AC0761" w:rsidP="00AC0761">
            <w:pPr>
              <w:pStyle w:val="Numbered"/>
              <w:widowControl/>
              <w:spacing w:after="0"/>
              <w:jc w:val="center"/>
              <w:rPr>
                <w:rFonts w:cs="Arial"/>
                <w:strike/>
                <w:sz w:val="20"/>
              </w:rPr>
            </w:pPr>
          </w:p>
          <w:p w14:paraId="650F45FE" w14:textId="04E35360" w:rsidR="00AC0761" w:rsidRPr="00FC1B62" w:rsidRDefault="00AC0761" w:rsidP="00AC0761">
            <w:pPr>
              <w:jc w:val="center"/>
              <w:rPr>
                <w:rFonts w:ascii="Arial" w:hAnsi="Arial" w:cs="Arial"/>
                <w:sz w:val="20"/>
              </w:rPr>
            </w:pPr>
            <w:r w:rsidRPr="00FC1B62">
              <w:rPr>
                <w:rFonts w:ascii="Arial" w:hAnsi="Arial" w:cs="Arial"/>
                <w:sz w:val="20"/>
              </w:rPr>
              <w:t>3,108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F56D031" w14:textId="1B3030A4" w:rsidR="00AC0761" w:rsidRPr="00FC1B62" w:rsidRDefault="00AC0761" w:rsidP="00AC0761">
            <w:pPr>
              <w:pStyle w:val="Numbered"/>
              <w:widowControl/>
              <w:spacing w:after="0"/>
              <w:jc w:val="center"/>
              <w:rPr>
                <w:strike/>
                <w:sz w:val="20"/>
              </w:rPr>
            </w:pPr>
          </w:p>
          <w:p w14:paraId="15FD06BB" w14:textId="5D27E20E" w:rsidR="00AC0761" w:rsidRPr="00FC1B62" w:rsidRDefault="00AC0761" w:rsidP="00AC0761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6,292</w:t>
            </w:r>
          </w:p>
        </w:tc>
        <w:tc>
          <w:tcPr>
            <w:tcW w:w="94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7A1C29D" w14:textId="1B27CE0E" w:rsidR="00AC0761" w:rsidRPr="00FC1B62" w:rsidRDefault="00AC0761" w:rsidP="00AC0761">
            <w:pPr>
              <w:pStyle w:val="Numbered"/>
              <w:widowControl/>
              <w:spacing w:after="0"/>
              <w:jc w:val="center"/>
              <w:rPr>
                <w:strike/>
                <w:sz w:val="20"/>
              </w:rPr>
            </w:pPr>
          </w:p>
          <w:p w14:paraId="26F7E52A" w14:textId="05F27766" w:rsidR="00AC0761" w:rsidRPr="00FC1B62" w:rsidRDefault="00AC0761" w:rsidP="00AC0761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5,418</w:t>
            </w:r>
          </w:p>
        </w:tc>
      </w:tr>
      <w:tr w:rsidR="00AC0761" w:rsidRPr="0012203D" w14:paraId="02581E94" w14:textId="77777777" w:rsidTr="00FC1B62"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85A99" w14:textId="77777777" w:rsidR="00AC0761" w:rsidRPr="00FC1B62" w:rsidRDefault="00AC0761" w:rsidP="00AC0761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30,000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86292" w14:textId="77777777" w:rsidR="00AC0761" w:rsidRPr="00FC1B62" w:rsidRDefault="00AC0761" w:rsidP="00AC0761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595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A3D59" w14:textId="77777777" w:rsidR="00AC0761" w:rsidRPr="00FC1B62" w:rsidRDefault="00AC0761" w:rsidP="00AC0761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1,760</w:t>
            </w:r>
          </w:p>
        </w:tc>
        <w:tc>
          <w:tcPr>
            <w:tcW w:w="122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4C5CCF4" w14:textId="71FA9D04" w:rsidR="00AC0761" w:rsidRPr="00FC1B62" w:rsidRDefault="00AC0761" w:rsidP="00AC0761">
            <w:pPr>
              <w:pStyle w:val="Numbered"/>
              <w:widowControl/>
              <w:spacing w:after="0"/>
              <w:jc w:val="center"/>
              <w:rPr>
                <w:rFonts w:cs="Arial"/>
                <w:strike/>
                <w:sz w:val="20"/>
              </w:rPr>
            </w:pPr>
          </w:p>
          <w:p w14:paraId="75307604" w14:textId="73548BDF" w:rsidR="00AC0761" w:rsidRPr="00FC1B62" w:rsidRDefault="00AC0761" w:rsidP="00AC0761">
            <w:pPr>
              <w:jc w:val="center"/>
              <w:rPr>
                <w:rFonts w:ascii="Arial" w:hAnsi="Arial" w:cs="Arial"/>
              </w:rPr>
            </w:pPr>
            <w:r w:rsidRPr="00FC1B62">
              <w:rPr>
                <w:rFonts w:ascii="Arial" w:hAnsi="Arial" w:cs="Arial"/>
                <w:sz w:val="20"/>
              </w:rPr>
              <w:t>3,982</w:t>
            </w:r>
          </w:p>
        </w:tc>
        <w:tc>
          <w:tcPr>
            <w:tcW w:w="94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FDEC40B" w14:textId="50CBC87C" w:rsidR="00AC0761" w:rsidRPr="00FC1B62" w:rsidRDefault="00AC0761" w:rsidP="00AC0761">
            <w:pPr>
              <w:pStyle w:val="Numbered"/>
              <w:widowControl/>
              <w:spacing w:after="0"/>
              <w:jc w:val="center"/>
              <w:rPr>
                <w:rFonts w:cs="Arial"/>
                <w:strike/>
                <w:sz w:val="20"/>
              </w:rPr>
            </w:pPr>
          </w:p>
          <w:p w14:paraId="5F2C6CDD" w14:textId="7013A140" w:rsidR="00AC0761" w:rsidRPr="00FC1B62" w:rsidRDefault="00AC0761" w:rsidP="00AC0761">
            <w:pPr>
              <w:jc w:val="center"/>
              <w:rPr>
                <w:rFonts w:ascii="Arial" w:hAnsi="Arial" w:cs="Arial"/>
              </w:rPr>
            </w:pPr>
            <w:r w:rsidRPr="00FC1B62">
              <w:rPr>
                <w:rFonts w:ascii="Arial" w:hAnsi="Arial" w:cs="Arial"/>
                <w:sz w:val="20"/>
              </w:rPr>
              <w:t>3,108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AF6FA4E" w14:textId="1BFBA8C5" w:rsidR="00AC0761" w:rsidRPr="00FC1B62" w:rsidRDefault="00AC0761" w:rsidP="00AC0761">
            <w:pPr>
              <w:pStyle w:val="Numbered"/>
              <w:widowControl/>
              <w:spacing w:after="0"/>
              <w:jc w:val="center"/>
              <w:rPr>
                <w:strike/>
                <w:sz w:val="20"/>
              </w:rPr>
            </w:pPr>
          </w:p>
          <w:p w14:paraId="46594C67" w14:textId="3E745132" w:rsidR="00AC0761" w:rsidRPr="00FC1B62" w:rsidRDefault="00AC0761" w:rsidP="00AC0761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5,742</w:t>
            </w:r>
          </w:p>
        </w:tc>
        <w:tc>
          <w:tcPr>
            <w:tcW w:w="94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4527289" w14:textId="16E32770" w:rsidR="00AC0761" w:rsidRPr="00FC1B62" w:rsidRDefault="00AC0761" w:rsidP="00AC0761">
            <w:pPr>
              <w:pStyle w:val="Numbered"/>
              <w:widowControl/>
              <w:spacing w:after="0"/>
              <w:jc w:val="center"/>
              <w:rPr>
                <w:strike/>
                <w:sz w:val="20"/>
              </w:rPr>
            </w:pPr>
          </w:p>
          <w:p w14:paraId="6AD4D765" w14:textId="5945D56D" w:rsidR="00AC0761" w:rsidRPr="00FC1B62" w:rsidRDefault="00AC0761" w:rsidP="00AC0761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4,868</w:t>
            </w:r>
          </w:p>
        </w:tc>
      </w:tr>
      <w:tr w:rsidR="00AC0761" w:rsidRPr="0012203D" w14:paraId="25D98207" w14:textId="77777777" w:rsidTr="00FC1B62"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9C200" w14:textId="77777777" w:rsidR="00AC0761" w:rsidRPr="00FC1B62" w:rsidRDefault="00AC0761" w:rsidP="00AC0761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35,000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B43040" w14:textId="77777777" w:rsidR="00AC0761" w:rsidRPr="00FC1B62" w:rsidRDefault="00AC0761" w:rsidP="00AC0761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1,121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BE534" w14:textId="77777777" w:rsidR="00AC0761" w:rsidRPr="00FC1B62" w:rsidRDefault="00AC0761" w:rsidP="00AC0761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1,234</w:t>
            </w:r>
          </w:p>
        </w:tc>
        <w:tc>
          <w:tcPr>
            <w:tcW w:w="122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B0DBABB" w14:textId="2B7AAA00" w:rsidR="00AC0761" w:rsidRPr="00FC1B62" w:rsidRDefault="00AC0761" w:rsidP="00AC0761">
            <w:pPr>
              <w:pStyle w:val="Numbered"/>
              <w:widowControl/>
              <w:spacing w:after="0"/>
              <w:jc w:val="center"/>
              <w:rPr>
                <w:rFonts w:cs="Arial"/>
                <w:strike/>
                <w:sz w:val="20"/>
              </w:rPr>
            </w:pPr>
          </w:p>
          <w:p w14:paraId="6684BDE7" w14:textId="28C14258" w:rsidR="00AC0761" w:rsidRPr="00FC1B62" w:rsidRDefault="00AC0761" w:rsidP="00AC0761">
            <w:pPr>
              <w:jc w:val="center"/>
              <w:rPr>
                <w:rFonts w:ascii="Arial" w:hAnsi="Arial" w:cs="Arial"/>
              </w:rPr>
            </w:pPr>
            <w:r w:rsidRPr="00FC1B62">
              <w:rPr>
                <w:rFonts w:ascii="Arial" w:hAnsi="Arial" w:cs="Arial"/>
                <w:sz w:val="20"/>
              </w:rPr>
              <w:t>3,982</w:t>
            </w:r>
          </w:p>
        </w:tc>
        <w:tc>
          <w:tcPr>
            <w:tcW w:w="94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7852929" w14:textId="0F0B1138" w:rsidR="00AC0761" w:rsidRPr="00FC1B62" w:rsidRDefault="00AC0761" w:rsidP="00AC0761">
            <w:pPr>
              <w:pStyle w:val="Numbered"/>
              <w:widowControl/>
              <w:spacing w:after="0"/>
              <w:jc w:val="center"/>
              <w:rPr>
                <w:rFonts w:cs="Arial"/>
                <w:strike/>
                <w:sz w:val="20"/>
              </w:rPr>
            </w:pPr>
          </w:p>
          <w:p w14:paraId="0D7621BC" w14:textId="7A88FC3B" w:rsidR="00AC0761" w:rsidRPr="00FC1B62" w:rsidRDefault="00AC0761" w:rsidP="00AC0761">
            <w:pPr>
              <w:jc w:val="center"/>
              <w:rPr>
                <w:rFonts w:ascii="Arial" w:hAnsi="Arial" w:cs="Arial"/>
              </w:rPr>
            </w:pPr>
            <w:r w:rsidRPr="00FC1B62">
              <w:rPr>
                <w:rFonts w:ascii="Arial" w:hAnsi="Arial" w:cs="Arial"/>
                <w:sz w:val="20"/>
              </w:rPr>
              <w:t>3,108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F877EB0" w14:textId="36E972CA" w:rsidR="00AC0761" w:rsidRPr="00FC1B62" w:rsidRDefault="00AC0761" w:rsidP="00AC0761">
            <w:pPr>
              <w:pStyle w:val="Numbered"/>
              <w:widowControl/>
              <w:spacing w:after="0"/>
              <w:jc w:val="center"/>
              <w:rPr>
                <w:strike/>
                <w:sz w:val="20"/>
              </w:rPr>
            </w:pPr>
          </w:p>
          <w:p w14:paraId="07F8E279" w14:textId="57DB21B3" w:rsidR="00AC0761" w:rsidRPr="00FC1B62" w:rsidRDefault="00AC0761" w:rsidP="00AC0761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5,216</w:t>
            </w:r>
          </w:p>
        </w:tc>
        <w:tc>
          <w:tcPr>
            <w:tcW w:w="94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B56A3E4" w14:textId="0EC55CAD" w:rsidR="00AC0761" w:rsidRPr="00FC1B62" w:rsidRDefault="00AC0761" w:rsidP="00AC0761">
            <w:pPr>
              <w:pStyle w:val="Numbered"/>
              <w:widowControl/>
              <w:spacing w:after="0"/>
              <w:jc w:val="center"/>
              <w:rPr>
                <w:strike/>
                <w:sz w:val="20"/>
              </w:rPr>
            </w:pPr>
          </w:p>
          <w:p w14:paraId="7214DFC5" w14:textId="56EAAAE8" w:rsidR="00AC0761" w:rsidRPr="00FC1B62" w:rsidRDefault="00AC0761" w:rsidP="00AC0761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4,342</w:t>
            </w:r>
          </w:p>
        </w:tc>
      </w:tr>
      <w:tr w:rsidR="00AC0761" w:rsidRPr="0012203D" w14:paraId="6923E36F" w14:textId="77777777" w:rsidTr="00FC1B62"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E0AF4" w14:textId="77777777" w:rsidR="00AC0761" w:rsidRPr="00FC1B62" w:rsidRDefault="00AC0761" w:rsidP="00AC0761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40,000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70643" w14:textId="77777777" w:rsidR="00AC0761" w:rsidRPr="00FC1B62" w:rsidRDefault="00AC0761" w:rsidP="00AC0761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1,648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80717" w14:textId="77777777" w:rsidR="00AC0761" w:rsidRPr="00FC1B62" w:rsidRDefault="00AC0761" w:rsidP="00AC0761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707</w:t>
            </w:r>
          </w:p>
        </w:tc>
        <w:tc>
          <w:tcPr>
            <w:tcW w:w="122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B543A8C" w14:textId="2ECF7B69" w:rsidR="00AC0761" w:rsidRPr="00FC1B62" w:rsidRDefault="00AC0761" w:rsidP="00AC0761">
            <w:pPr>
              <w:pStyle w:val="Numbered"/>
              <w:widowControl/>
              <w:spacing w:after="0"/>
              <w:jc w:val="center"/>
              <w:rPr>
                <w:rFonts w:cs="Arial"/>
                <w:strike/>
                <w:sz w:val="20"/>
              </w:rPr>
            </w:pPr>
          </w:p>
          <w:p w14:paraId="2ED4D386" w14:textId="2956D41E" w:rsidR="00AC0761" w:rsidRPr="00FC1B62" w:rsidRDefault="00AC0761" w:rsidP="00AC0761">
            <w:pPr>
              <w:jc w:val="center"/>
              <w:rPr>
                <w:rFonts w:ascii="Arial" w:hAnsi="Arial" w:cs="Arial"/>
              </w:rPr>
            </w:pPr>
            <w:r w:rsidRPr="00FC1B62">
              <w:rPr>
                <w:rFonts w:ascii="Arial" w:hAnsi="Arial" w:cs="Arial"/>
                <w:sz w:val="20"/>
              </w:rPr>
              <w:t>3,982</w:t>
            </w:r>
          </w:p>
        </w:tc>
        <w:tc>
          <w:tcPr>
            <w:tcW w:w="94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CA669CF" w14:textId="15CF79D8" w:rsidR="00AC0761" w:rsidRPr="00FC1B62" w:rsidRDefault="00AC0761" w:rsidP="00AC0761">
            <w:pPr>
              <w:pStyle w:val="Numbered"/>
              <w:widowControl/>
              <w:spacing w:after="0"/>
              <w:jc w:val="center"/>
              <w:rPr>
                <w:rFonts w:cs="Arial"/>
                <w:strike/>
                <w:sz w:val="20"/>
              </w:rPr>
            </w:pPr>
          </w:p>
          <w:p w14:paraId="35C3912C" w14:textId="6735E085" w:rsidR="00AC0761" w:rsidRPr="00FC1B62" w:rsidRDefault="00AC0761" w:rsidP="00AC0761">
            <w:pPr>
              <w:jc w:val="center"/>
              <w:rPr>
                <w:rFonts w:ascii="Arial" w:hAnsi="Arial" w:cs="Arial"/>
              </w:rPr>
            </w:pPr>
            <w:r w:rsidRPr="00FC1B62">
              <w:rPr>
                <w:rFonts w:ascii="Arial" w:hAnsi="Arial" w:cs="Arial"/>
                <w:sz w:val="20"/>
              </w:rPr>
              <w:t>3,108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E5B51E1" w14:textId="335DC76E" w:rsidR="00AC0761" w:rsidRPr="00FC1B62" w:rsidRDefault="00AC0761" w:rsidP="00AC0761">
            <w:pPr>
              <w:pStyle w:val="Numbered"/>
              <w:widowControl/>
              <w:spacing w:after="0"/>
              <w:jc w:val="center"/>
              <w:rPr>
                <w:strike/>
                <w:sz w:val="20"/>
              </w:rPr>
            </w:pPr>
          </w:p>
          <w:p w14:paraId="2AA5287E" w14:textId="3390CA34" w:rsidR="00AC0761" w:rsidRPr="00FC1B62" w:rsidRDefault="00AC0761" w:rsidP="00AC0761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4,689</w:t>
            </w:r>
          </w:p>
        </w:tc>
        <w:tc>
          <w:tcPr>
            <w:tcW w:w="94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011FCC0" w14:textId="3C732444" w:rsidR="00AC0761" w:rsidRPr="00FC1B62" w:rsidRDefault="00AC0761" w:rsidP="00AC0761">
            <w:pPr>
              <w:pStyle w:val="Numbered"/>
              <w:widowControl/>
              <w:spacing w:after="0"/>
              <w:jc w:val="center"/>
              <w:rPr>
                <w:strike/>
                <w:sz w:val="20"/>
              </w:rPr>
            </w:pPr>
          </w:p>
          <w:p w14:paraId="1D0F25A5" w14:textId="471DD452" w:rsidR="00AC0761" w:rsidRPr="00FC1B62" w:rsidRDefault="00AC0761" w:rsidP="00AC0761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3,815</w:t>
            </w:r>
          </w:p>
        </w:tc>
      </w:tr>
      <w:tr w:rsidR="00AC0761" w:rsidRPr="0012203D" w14:paraId="79C7122B" w14:textId="77777777" w:rsidTr="00FC1B62"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0D917E1" w14:textId="77777777" w:rsidR="00AC0761" w:rsidRPr="00FC1B62" w:rsidRDefault="00AC0761" w:rsidP="00AC0761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42,719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375E48F" w14:textId="77777777" w:rsidR="00AC0761" w:rsidRPr="00FC1B62" w:rsidRDefault="00AC0761" w:rsidP="00AC0761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2,355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CCE2947" w14:textId="77777777" w:rsidR="00AC0761" w:rsidRPr="00FC1B62" w:rsidRDefault="00AC0761" w:rsidP="00AC0761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0</w:t>
            </w:r>
          </w:p>
        </w:tc>
        <w:tc>
          <w:tcPr>
            <w:tcW w:w="1223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DB84188" w14:textId="01179121" w:rsidR="00AC0761" w:rsidRPr="00FC1B62" w:rsidRDefault="00AC0761" w:rsidP="00AC0761">
            <w:pPr>
              <w:pStyle w:val="Numbered"/>
              <w:widowControl/>
              <w:spacing w:after="0"/>
              <w:jc w:val="center"/>
              <w:rPr>
                <w:rFonts w:cs="Arial"/>
                <w:strike/>
                <w:sz w:val="20"/>
              </w:rPr>
            </w:pPr>
          </w:p>
          <w:p w14:paraId="2C124EC7" w14:textId="60B6E2D0" w:rsidR="00AC0761" w:rsidRPr="00FC1B62" w:rsidRDefault="00AC0761" w:rsidP="00AC0761">
            <w:pPr>
              <w:jc w:val="center"/>
              <w:rPr>
                <w:rFonts w:ascii="Arial" w:hAnsi="Arial" w:cs="Arial"/>
              </w:rPr>
            </w:pPr>
            <w:r w:rsidRPr="00FC1B62">
              <w:rPr>
                <w:rFonts w:ascii="Arial" w:hAnsi="Arial" w:cs="Arial"/>
                <w:sz w:val="20"/>
              </w:rPr>
              <w:t>3,982</w:t>
            </w:r>
          </w:p>
        </w:tc>
        <w:tc>
          <w:tcPr>
            <w:tcW w:w="947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74F0A8D" w14:textId="6212B397" w:rsidR="00AC0761" w:rsidRPr="00FC1B62" w:rsidRDefault="00AC0761" w:rsidP="00AC0761">
            <w:pPr>
              <w:pStyle w:val="Numbered"/>
              <w:widowControl/>
              <w:spacing w:after="0"/>
              <w:jc w:val="center"/>
              <w:rPr>
                <w:rFonts w:cs="Arial"/>
                <w:strike/>
                <w:sz w:val="20"/>
              </w:rPr>
            </w:pPr>
          </w:p>
          <w:p w14:paraId="5564F4CB" w14:textId="3E549FAF" w:rsidR="00AC0761" w:rsidRPr="00FC1B62" w:rsidRDefault="00AC0761" w:rsidP="00AC0761">
            <w:pPr>
              <w:jc w:val="center"/>
              <w:rPr>
                <w:rFonts w:ascii="Arial" w:hAnsi="Arial" w:cs="Arial"/>
              </w:rPr>
            </w:pPr>
            <w:r w:rsidRPr="00FC1B62">
              <w:rPr>
                <w:rFonts w:ascii="Arial" w:hAnsi="Arial" w:cs="Arial"/>
                <w:sz w:val="20"/>
              </w:rPr>
              <w:t>3,108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61C7049" w14:textId="18B0CA2D" w:rsidR="00AC0761" w:rsidRPr="00FC1B62" w:rsidRDefault="00AC0761" w:rsidP="00AC0761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</w:p>
          <w:p w14:paraId="1D0FFB0C" w14:textId="704CED89" w:rsidR="00AC0761" w:rsidRPr="00FC1B62" w:rsidRDefault="00AC0761" w:rsidP="00AC0761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3,982</w:t>
            </w:r>
          </w:p>
        </w:tc>
        <w:tc>
          <w:tcPr>
            <w:tcW w:w="948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95EFB05" w14:textId="5617100F" w:rsidR="00AC0761" w:rsidRPr="00FC1B62" w:rsidRDefault="00AC0761" w:rsidP="00AC0761">
            <w:pPr>
              <w:pStyle w:val="Numbered"/>
              <w:widowControl/>
              <w:spacing w:after="0"/>
              <w:jc w:val="center"/>
              <w:rPr>
                <w:strike/>
                <w:sz w:val="20"/>
              </w:rPr>
            </w:pPr>
          </w:p>
          <w:p w14:paraId="091EB309" w14:textId="0423DFC0" w:rsidR="00AC0761" w:rsidRPr="00FC1B62" w:rsidRDefault="00AC0761" w:rsidP="00AC0761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3,108</w:t>
            </w:r>
          </w:p>
        </w:tc>
      </w:tr>
    </w:tbl>
    <w:p w14:paraId="6510FAC6" w14:textId="77777777" w:rsidR="00AA7A59" w:rsidRDefault="00AA7A59" w:rsidP="005A501E">
      <w:pPr>
        <w:pStyle w:val="ListParagraph"/>
        <w:spacing w:after="0" w:line="240" w:lineRule="auto"/>
        <w:ind w:left="0"/>
        <w:rPr>
          <w:rFonts w:ascii="Arial" w:hAnsi="Arial" w:cs="Arial"/>
          <w:color w:val="000000"/>
          <w:sz w:val="24"/>
        </w:rPr>
      </w:pPr>
    </w:p>
    <w:p w14:paraId="57716135" w14:textId="24B3B19E" w:rsidR="001C1ADE" w:rsidRPr="001C1ADE" w:rsidRDefault="00026D4D" w:rsidP="000F696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maximum amounts of Maintenance Grant and L</w:t>
      </w:r>
      <w:r w:rsidR="00F90E64" w:rsidRPr="001C1ADE">
        <w:rPr>
          <w:rFonts w:ascii="Arial" w:hAnsi="Arial" w:cs="Arial"/>
          <w:sz w:val="24"/>
          <w:szCs w:val="24"/>
        </w:rPr>
        <w:t xml:space="preserve">oan are less when a student receives </w:t>
      </w:r>
      <w:r w:rsidR="00B47F96">
        <w:rPr>
          <w:rFonts w:ascii="Arial" w:hAnsi="Arial" w:cs="Arial"/>
          <w:sz w:val="24"/>
          <w:szCs w:val="24"/>
        </w:rPr>
        <w:t>DoH</w:t>
      </w:r>
      <w:r w:rsidR="00F90E64" w:rsidRPr="001C1ADE">
        <w:rPr>
          <w:rFonts w:ascii="Arial" w:hAnsi="Arial" w:cs="Arial"/>
          <w:sz w:val="24"/>
          <w:szCs w:val="24"/>
        </w:rPr>
        <w:t xml:space="preserve"> funding than when they receive standard funding. This is because </w:t>
      </w:r>
      <w:r w:rsidR="00F90E64" w:rsidRPr="001C1ADE">
        <w:rPr>
          <w:rFonts w:ascii="Arial" w:hAnsi="Arial" w:cs="Arial"/>
          <w:sz w:val="24"/>
          <w:szCs w:val="24"/>
        </w:rPr>
        <w:lastRenderedPageBreak/>
        <w:t xml:space="preserve">students </w:t>
      </w:r>
      <w:r w:rsidR="006C2A8E">
        <w:rPr>
          <w:rFonts w:ascii="Arial" w:hAnsi="Arial" w:cs="Arial"/>
          <w:sz w:val="24"/>
          <w:szCs w:val="24"/>
        </w:rPr>
        <w:t>are not required to take out a Tuition Fee L</w:t>
      </w:r>
      <w:r w:rsidR="00F90E64" w:rsidRPr="001C1ADE">
        <w:rPr>
          <w:rFonts w:ascii="Arial" w:hAnsi="Arial" w:cs="Arial"/>
          <w:sz w:val="24"/>
          <w:szCs w:val="24"/>
        </w:rPr>
        <w:t>oan to pay for their fees in those years but will have their fees paid in full through Student Finance</w:t>
      </w:r>
      <w:r w:rsidR="00BC5BE4">
        <w:rPr>
          <w:rFonts w:ascii="Arial" w:hAnsi="Arial" w:cs="Arial"/>
          <w:sz w:val="24"/>
          <w:szCs w:val="24"/>
        </w:rPr>
        <w:t xml:space="preserve"> NI</w:t>
      </w:r>
      <w:r w:rsidR="00F90E64" w:rsidRPr="001C1ADE">
        <w:rPr>
          <w:rFonts w:ascii="Arial" w:hAnsi="Arial" w:cs="Arial"/>
          <w:sz w:val="24"/>
          <w:szCs w:val="24"/>
        </w:rPr>
        <w:t>, regardless of the level of household income, on receipt of an i</w:t>
      </w:r>
      <w:r w:rsidR="001C1ADE" w:rsidRPr="001C1ADE">
        <w:rPr>
          <w:rFonts w:ascii="Arial" w:hAnsi="Arial" w:cs="Arial"/>
          <w:sz w:val="24"/>
          <w:szCs w:val="24"/>
        </w:rPr>
        <w:t>nvoice from their university.</w:t>
      </w:r>
    </w:p>
    <w:p w14:paraId="474205C6" w14:textId="0D98E2FC" w:rsidR="001C1ADE" w:rsidRPr="001C1ADE" w:rsidRDefault="00F90E64" w:rsidP="000F696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1C1ADE">
        <w:rPr>
          <w:rFonts w:ascii="Arial" w:hAnsi="Arial" w:cs="Arial"/>
          <w:sz w:val="24"/>
          <w:szCs w:val="24"/>
        </w:rPr>
        <w:t>For students</w:t>
      </w:r>
      <w:r w:rsidR="00096871">
        <w:rPr>
          <w:rFonts w:ascii="Arial" w:hAnsi="Arial" w:cs="Arial"/>
          <w:sz w:val="24"/>
          <w:szCs w:val="24"/>
        </w:rPr>
        <w:t xml:space="preserve"> attending Queen’s University</w:t>
      </w:r>
      <w:r w:rsidRPr="001C1ADE">
        <w:rPr>
          <w:rFonts w:ascii="Arial" w:hAnsi="Arial" w:cs="Arial"/>
          <w:sz w:val="24"/>
          <w:szCs w:val="24"/>
        </w:rPr>
        <w:t xml:space="preserve"> Belfast an academic report confirming their progress will be forwarded automatically to </w:t>
      </w:r>
      <w:r w:rsidR="00096871">
        <w:rPr>
          <w:rFonts w:ascii="Arial" w:hAnsi="Arial" w:cs="Arial"/>
          <w:sz w:val="24"/>
          <w:szCs w:val="24"/>
        </w:rPr>
        <w:t>the</w:t>
      </w:r>
      <w:r w:rsidR="00FC1D49">
        <w:rPr>
          <w:rFonts w:ascii="Arial" w:hAnsi="Arial" w:cs="Arial"/>
          <w:sz w:val="24"/>
          <w:szCs w:val="24"/>
        </w:rPr>
        <w:t>ir</w:t>
      </w:r>
      <w:r w:rsidR="00096871">
        <w:rPr>
          <w:rFonts w:ascii="Arial" w:hAnsi="Arial" w:cs="Arial"/>
          <w:sz w:val="24"/>
          <w:szCs w:val="24"/>
        </w:rPr>
        <w:t xml:space="preserve"> </w:t>
      </w:r>
      <w:r w:rsidR="00FC1D49">
        <w:rPr>
          <w:rFonts w:ascii="Arial" w:hAnsi="Arial" w:cs="Arial"/>
          <w:sz w:val="24"/>
          <w:szCs w:val="24"/>
        </w:rPr>
        <w:t>local</w:t>
      </w:r>
      <w:r w:rsidR="00096871">
        <w:rPr>
          <w:rFonts w:ascii="Arial" w:hAnsi="Arial" w:cs="Arial"/>
          <w:sz w:val="24"/>
          <w:szCs w:val="24"/>
        </w:rPr>
        <w:t xml:space="preserve"> </w:t>
      </w:r>
      <w:r w:rsidRPr="001C1ADE">
        <w:rPr>
          <w:rFonts w:ascii="Arial" w:hAnsi="Arial" w:cs="Arial"/>
          <w:sz w:val="24"/>
          <w:szCs w:val="24"/>
        </w:rPr>
        <w:t xml:space="preserve">Student Finance </w:t>
      </w:r>
      <w:r w:rsidR="00FC1D49">
        <w:rPr>
          <w:rFonts w:ascii="Arial" w:hAnsi="Arial" w:cs="Arial"/>
          <w:sz w:val="24"/>
          <w:szCs w:val="24"/>
        </w:rPr>
        <w:t>NI office</w:t>
      </w:r>
      <w:r w:rsidR="00096871">
        <w:rPr>
          <w:rFonts w:ascii="Arial" w:hAnsi="Arial" w:cs="Arial"/>
          <w:sz w:val="24"/>
          <w:szCs w:val="24"/>
        </w:rPr>
        <w:t xml:space="preserve"> </w:t>
      </w:r>
      <w:r w:rsidRPr="001C1ADE">
        <w:rPr>
          <w:rFonts w:ascii="Arial" w:hAnsi="Arial" w:cs="Arial"/>
          <w:sz w:val="24"/>
          <w:szCs w:val="24"/>
        </w:rPr>
        <w:t>to e</w:t>
      </w:r>
      <w:r w:rsidR="001C1ADE" w:rsidRPr="001C1ADE">
        <w:rPr>
          <w:rFonts w:ascii="Arial" w:hAnsi="Arial" w:cs="Arial"/>
          <w:sz w:val="24"/>
          <w:szCs w:val="24"/>
        </w:rPr>
        <w:t>nable any bursary to be paid.</w:t>
      </w:r>
    </w:p>
    <w:p w14:paraId="34773A06" w14:textId="19782ABA" w:rsidR="001C1ADE" w:rsidRPr="001C1ADE" w:rsidRDefault="00F90E64" w:rsidP="008857F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240" w:line="240" w:lineRule="auto"/>
        <w:contextualSpacing w:val="0"/>
        <w:rPr>
          <w:rFonts w:ascii="Arial" w:hAnsi="Arial" w:cs="Arial"/>
          <w:sz w:val="24"/>
          <w:szCs w:val="24"/>
        </w:rPr>
      </w:pPr>
      <w:r w:rsidRPr="001C1ADE">
        <w:rPr>
          <w:rFonts w:ascii="Arial" w:hAnsi="Arial" w:cs="Arial"/>
          <w:sz w:val="24"/>
          <w:szCs w:val="24"/>
        </w:rPr>
        <w:t>Medical or Dental students who repeat</w:t>
      </w:r>
      <w:r w:rsidRPr="001C1ADE">
        <w:rPr>
          <w:rFonts w:ascii="Arial" w:hAnsi="Arial" w:cs="Arial"/>
          <w:color w:val="C00000"/>
          <w:sz w:val="36"/>
          <w:szCs w:val="24"/>
        </w:rPr>
        <w:t>*</w:t>
      </w:r>
      <w:r w:rsidRPr="001C1ADE">
        <w:rPr>
          <w:rFonts w:ascii="Arial" w:hAnsi="Arial" w:cs="Arial"/>
          <w:sz w:val="24"/>
          <w:szCs w:val="24"/>
        </w:rPr>
        <w:t xml:space="preserve">more than one year of their standard course will </w:t>
      </w:r>
      <w:r w:rsidRPr="001C1ADE">
        <w:rPr>
          <w:rFonts w:ascii="Arial" w:hAnsi="Arial" w:cs="Arial"/>
          <w:b/>
          <w:bCs/>
          <w:sz w:val="24"/>
          <w:szCs w:val="24"/>
        </w:rPr>
        <w:t xml:space="preserve">not be entitled </w:t>
      </w:r>
      <w:r w:rsidRPr="001C1ADE">
        <w:rPr>
          <w:rFonts w:ascii="Arial" w:hAnsi="Arial" w:cs="Arial"/>
          <w:sz w:val="24"/>
          <w:szCs w:val="24"/>
        </w:rPr>
        <w:t xml:space="preserve">to a </w:t>
      </w:r>
      <w:r w:rsidR="00B47F96">
        <w:rPr>
          <w:rFonts w:ascii="Arial" w:hAnsi="Arial" w:cs="Arial"/>
          <w:sz w:val="24"/>
          <w:szCs w:val="24"/>
        </w:rPr>
        <w:t>DoH</w:t>
      </w:r>
      <w:r w:rsidRPr="001C1ADE">
        <w:rPr>
          <w:rFonts w:ascii="Arial" w:hAnsi="Arial" w:cs="Arial"/>
          <w:sz w:val="24"/>
          <w:szCs w:val="24"/>
        </w:rPr>
        <w:t xml:space="preserve"> bursary for fourth or fifth year. Medical and Dental students who are required to repeat part of the course remain eligible to apply </w:t>
      </w:r>
      <w:r w:rsidR="006C2A8E">
        <w:rPr>
          <w:rFonts w:ascii="Arial" w:hAnsi="Arial" w:cs="Arial"/>
          <w:sz w:val="24"/>
          <w:szCs w:val="24"/>
        </w:rPr>
        <w:t>for a Tuition Fee Loan, an assessed M</w:t>
      </w:r>
      <w:r w:rsidRPr="001C1ADE">
        <w:rPr>
          <w:rFonts w:ascii="Arial" w:hAnsi="Arial" w:cs="Arial"/>
          <w:sz w:val="24"/>
          <w:szCs w:val="24"/>
        </w:rPr>
        <w:t xml:space="preserve">aintenance </w:t>
      </w:r>
      <w:r w:rsidR="00CC6FE2">
        <w:rPr>
          <w:rFonts w:ascii="Arial" w:hAnsi="Arial" w:cs="Arial"/>
          <w:sz w:val="24"/>
          <w:szCs w:val="24"/>
        </w:rPr>
        <w:t>Loan,</w:t>
      </w:r>
      <w:r w:rsidR="006C2A8E">
        <w:rPr>
          <w:rFonts w:ascii="Arial" w:hAnsi="Arial" w:cs="Arial"/>
          <w:sz w:val="24"/>
          <w:szCs w:val="24"/>
        </w:rPr>
        <w:t xml:space="preserve"> and a M</w:t>
      </w:r>
      <w:r w:rsidRPr="001C1ADE">
        <w:rPr>
          <w:rFonts w:ascii="Arial" w:hAnsi="Arial" w:cs="Arial"/>
          <w:sz w:val="24"/>
          <w:szCs w:val="24"/>
        </w:rPr>
        <w:t xml:space="preserve">aintenance </w:t>
      </w:r>
      <w:r w:rsidR="006C2A8E">
        <w:rPr>
          <w:rFonts w:ascii="Arial" w:hAnsi="Arial" w:cs="Arial"/>
          <w:sz w:val="24"/>
          <w:szCs w:val="24"/>
        </w:rPr>
        <w:t>G</w:t>
      </w:r>
      <w:r w:rsidR="00096871">
        <w:rPr>
          <w:rFonts w:ascii="Arial" w:hAnsi="Arial" w:cs="Arial"/>
          <w:sz w:val="24"/>
          <w:szCs w:val="24"/>
        </w:rPr>
        <w:t>rant</w:t>
      </w:r>
      <w:r w:rsidRPr="001C1ADE">
        <w:rPr>
          <w:rFonts w:ascii="Arial" w:hAnsi="Arial" w:cs="Arial"/>
          <w:sz w:val="24"/>
          <w:szCs w:val="24"/>
        </w:rPr>
        <w:t xml:space="preserve"> under the NI Education Student Support Regulations.</w:t>
      </w:r>
    </w:p>
    <w:p w14:paraId="618947E0" w14:textId="6FE5F9F7" w:rsidR="00F90E64" w:rsidRPr="008857F5" w:rsidRDefault="00F90E64" w:rsidP="00535EC2">
      <w:pPr>
        <w:autoSpaceDE w:val="0"/>
        <w:autoSpaceDN w:val="0"/>
        <w:adjustRightInd w:val="0"/>
        <w:ind w:left="360"/>
        <w:rPr>
          <w:rFonts w:ascii="Arial" w:eastAsiaTheme="minorHAnsi" w:hAnsi="Arial" w:cs="Arial"/>
          <w:sz w:val="22"/>
          <w:szCs w:val="22"/>
        </w:rPr>
      </w:pPr>
      <w:r w:rsidRPr="008857F5">
        <w:rPr>
          <w:rFonts w:ascii="Arial" w:eastAsiaTheme="minorHAnsi" w:hAnsi="Arial" w:cs="Arial"/>
          <w:color w:val="C00000"/>
          <w:sz w:val="22"/>
          <w:szCs w:val="22"/>
        </w:rPr>
        <w:t>*</w:t>
      </w:r>
      <w:r w:rsidRPr="008857F5">
        <w:rPr>
          <w:rFonts w:ascii="Arial" w:eastAsiaTheme="minorHAnsi" w:hAnsi="Arial" w:cs="Arial"/>
          <w:sz w:val="22"/>
          <w:szCs w:val="22"/>
        </w:rPr>
        <w:t xml:space="preserve"> </w:t>
      </w:r>
      <w:r w:rsidR="008857F5" w:rsidRPr="008857F5">
        <w:rPr>
          <w:rFonts w:ascii="Arial" w:eastAsiaTheme="minorHAnsi" w:hAnsi="Arial" w:cs="Arial"/>
          <w:sz w:val="22"/>
          <w:szCs w:val="22"/>
        </w:rPr>
        <w:t>This</w:t>
      </w:r>
      <w:r w:rsidRPr="008857F5">
        <w:rPr>
          <w:rFonts w:ascii="Arial" w:eastAsiaTheme="minorHAnsi" w:hAnsi="Arial" w:cs="Arial"/>
          <w:sz w:val="22"/>
          <w:szCs w:val="22"/>
        </w:rPr>
        <w:t xml:space="preserve"> is not applicable to </w:t>
      </w:r>
      <w:r w:rsidR="00535EC2" w:rsidRPr="00D43747">
        <w:rPr>
          <w:rFonts w:ascii="Arial" w:eastAsiaTheme="minorHAnsi" w:hAnsi="Arial" w:cs="Arial"/>
          <w:lang w:eastAsia="en-US"/>
        </w:rPr>
        <w:t xml:space="preserve">Medical/Dental </w:t>
      </w:r>
      <w:r w:rsidRPr="008857F5">
        <w:rPr>
          <w:rFonts w:ascii="Arial" w:eastAsiaTheme="minorHAnsi" w:hAnsi="Arial" w:cs="Arial"/>
          <w:sz w:val="22"/>
          <w:szCs w:val="22"/>
        </w:rPr>
        <w:t>students who have support renewed by Student Finance</w:t>
      </w:r>
      <w:r w:rsidR="00BC5BE4" w:rsidRPr="008857F5">
        <w:rPr>
          <w:rFonts w:ascii="Arial" w:eastAsiaTheme="minorHAnsi" w:hAnsi="Arial" w:cs="Arial"/>
          <w:sz w:val="22"/>
          <w:szCs w:val="22"/>
        </w:rPr>
        <w:t xml:space="preserve"> NI</w:t>
      </w:r>
      <w:r w:rsidRPr="008857F5">
        <w:rPr>
          <w:rFonts w:ascii="Arial" w:eastAsiaTheme="minorHAnsi" w:hAnsi="Arial" w:cs="Arial"/>
          <w:sz w:val="22"/>
          <w:szCs w:val="22"/>
        </w:rPr>
        <w:t xml:space="preserve"> due to compelling personal reasons.</w:t>
      </w:r>
    </w:p>
    <w:p w14:paraId="3732301B" w14:textId="77777777" w:rsidR="00535EC2" w:rsidRDefault="00535EC2" w:rsidP="000F6963">
      <w:pPr>
        <w:pStyle w:val="Heading2"/>
      </w:pPr>
    </w:p>
    <w:p w14:paraId="5CD5CC03" w14:textId="31D4439A" w:rsidR="001C1ADE" w:rsidRPr="001C1ADE" w:rsidRDefault="000E22ED" w:rsidP="000F6963">
      <w:pPr>
        <w:pStyle w:val="Heading2"/>
      </w:pPr>
      <w:r>
        <w:t>First</w:t>
      </w:r>
      <w:r w:rsidR="00F90E64" w:rsidRPr="00F90E64">
        <w:t xml:space="preserve"> Primary degree courses in </w:t>
      </w:r>
      <w:r w:rsidR="00B4173F" w:rsidRPr="00F90E64">
        <w:t>R</w:t>
      </w:r>
      <w:r w:rsidR="00B4173F">
        <w:t>epublic of Ireland (ROI)</w:t>
      </w:r>
    </w:p>
    <w:p w14:paraId="5C9D2C64" w14:textId="5D7B1066" w:rsidR="001C1ADE" w:rsidRPr="002D0CBA" w:rsidRDefault="00F90E64" w:rsidP="000F696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2D0CBA">
        <w:rPr>
          <w:rFonts w:ascii="Arial" w:hAnsi="Arial" w:cs="Arial"/>
          <w:sz w:val="24"/>
          <w:szCs w:val="24"/>
        </w:rPr>
        <w:t xml:space="preserve">Medical and Dental students who choose to study </w:t>
      </w:r>
      <w:r w:rsidR="00156009">
        <w:rPr>
          <w:rFonts w:ascii="Arial" w:hAnsi="Arial" w:cs="Arial"/>
          <w:sz w:val="24"/>
          <w:szCs w:val="24"/>
        </w:rPr>
        <w:t xml:space="preserve">in the ROI are not eligible </w:t>
      </w:r>
      <w:r w:rsidR="000F6963">
        <w:rPr>
          <w:rFonts w:ascii="Arial" w:hAnsi="Arial" w:cs="Arial"/>
          <w:sz w:val="24"/>
          <w:szCs w:val="24"/>
        </w:rPr>
        <w:t xml:space="preserve">to </w:t>
      </w:r>
      <w:r w:rsidR="000F6963" w:rsidRPr="002D0CBA">
        <w:rPr>
          <w:rFonts w:ascii="Arial" w:hAnsi="Arial" w:cs="Arial"/>
          <w:sz w:val="24"/>
          <w:szCs w:val="24"/>
        </w:rPr>
        <w:t>DoH</w:t>
      </w:r>
      <w:r w:rsidRPr="002D0CBA">
        <w:rPr>
          <w:rFonts w:ascii="Arial" w:hAnsi="Arial" w:cs="Arial"/>
          <w:sz w:val="24"/>
          <w:szCs w:val="24"/>
        </w:rPr>
        <w:t xml:space="preserve"> </w:t>
      </w:r>
      <w:r w:rsidR="00156009">
        <w:rPr>
          <w:rFonts w:ascii="Arial" w:hAnsi="Arial" w:cs="Arial"/>
          <w:sz w:val="24"/>
          <w:szCs w:val="24"/>
        </w:rPr>
        <w:t>funding</w:t>
      </w:r>
      <w:r w:rsidRPr="002D0CBA">
        <w:rPr>
          <w:rFonts w:ascii="Arial" w:hAnsi="Arial" w:cs="Arial"/>
          <w:sz w:val="24"/>
          <w:szCs w:val="24"/>
        </w:rPr>
        <w:t xml:space="preserve"> in fourth or fifth year but will remain entitled to have their support paid under the NI Educatio</w:t>
      </w:r>
      <w:r w:rsidR="001C1ADE" w:rsidRPr="002D0CBA">
        <w:rPr>
          <w:rFonts w:ascii="Arial" w:hAnsi="Arial" w:cs="Arial"/>
          <w:sz w:val="24"/>
          <w:szCs w:val="24"/>
        </w:rPr>
        <w:t>n S</w:t>
      </w:r>
      <w:r w:rsidR="009A5A48">
        <w:rPr>
          <w:rFonts w:ascii="Arial" w:hAnsi="Arial" w:cs="Arial"/>
          <w:sz w:val="24"/>
          <w:szCs w:val="24"/>
        </w:rPr>
        <w:t xml:space="preserve">tudent Support Regulations, </w:t>
      </w:r>
      <w:r w:rsidR="00D43747">
        <w:rPr>
          <w:rFonts w:ascii="Arial" w:hAnsi="Arial" w:cs="Arial"/>
          <w:sz w:val="24"/>
          <w:szCs w:val="24"/>
        </w:rPr>
        <w:t>i.e.</w:t>
      </w:r>
      <w:r w:rsidR="007B1C3D" w:rsidRPr="000F363B">
        <w:rPr>
          <w:rFonts w:ascii="Arial" w:hAnsi="Arial" w:cs="Arial"/>
          <w:sz w:val="24"/>
          <w:szCs w:val="24"/>
        </w:rPr>
        <w:t xml:space="preserve"> </w:t>
      </w:r>
      <w:r w:rsidR="009A5A48">
        <w:rPr>
          <w:rFonts w:ascii="Arial" w:hAnsi="Arial" w:cs="Arial"/>
          <w:sz w:val="24"/>
          <w:szCs w:val="24"/>
        </w:rPr>
        <w:t>means</w:t>
      </w:r>
      <w:r w:rsidR="00080CC7">
        <w:rPr>
          <w:rFonts w:ascii="Arial" w:hAnsi="Arial" w:cs="Arial"/>
          <w:sz w:val="24"/>
          <w:szCs w:val="24"/>
        </w:rPr>
        <w:t>-</w:t>
      </w:r>
      <w:r w:rsidR="006C2A8E">
        <w:rPr>
          <w:rFonts w:ascii="Arial" w:hAnsi="Arial" w:cs="Arial"/>
          <w:sz w:val="24"/>
          <w:szCs w:val="24"/>
        </w:rPr>
        <w:t>tested Maintenance L</w:t>
      </w:r>
      <w:r w:rsidR="009A5A48">
        <w:rPr>
          <w:rFonts w:ascii="Arial" w:hAnsi="Arial" w:cs="Arial"/>
          <w:sz w:val="24"/>
          <w:szCs w:val="24"/>
        </w:rPr>
        <w:t>oan</w:t>
      </w:r>
      <w:r w:rsidR="006C2A8E">
        <w:rPr>
          <w:rFonts w:ascii="Arial" w:hAnsi="Arial" w:cs="Arial"/>
          <w:sz w:val="24"/>
          <w:szCs w:val="24"/>
        </w:rPr>
        <w:t xml:space="preserve"> and G</w:t>
      </w:r>
      <w:r w:rsidR="00096871">
        <w:rPr>
          <w:rFonts w:ascii="Arial" w:hAnsi="Arial" w:cs="Arial"/>
          <w:sz w:val="24"/>
          <w:szCs w:val="24"/>
        </w:rPr>
        <w:t>rant</w:t>
      </w:r>
      <w:r w:rsidR="009A5A48">
        <w:rPr>
          <w:rFonts w:ascii="Arial" w:hAnsi="Arial" w:cs="Arial"/>
          <w:sz w:val="24"/>
          <w:szCs w:val="24"/>
        </w:rPr>
        <w:t>.</w:t>
      </w:r>
    </w:p>
    <w:p w14:paraId="396C530A" w14:textId="157F827E" w:rsidR="00F90E64" w:rsidRDefault="00F90E64" w:rsidP="000F696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36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2D0CBA">
        <w:rPr>
          <w:rFonts w:ascii="Arial" w:hAnsi="Arial" w:cs="Arial"/>
          <w:sz w:val="24"/>
          <w:szCs w:val="24"/>
        </w:rPr>
        <w:t xml:space="preserve">Students who </w:t>
      </w:r>
      <w:r w:rsidR="000E22ED">
        <w:rPr>
          <w:rFonts w:ascii="Arial" w:hAnsi="Arial" w:cs="Arial"/>
          <w:sz w:val="24"/>
          <w:szCs w:val="24"/>
        </w:rPr>
        <w:t>study</w:t>
      </w:r>
      <w:r w:rsidRPr="002D0CBA">
        <w:rPr>
          <w:rFonts w:ascii="Arial" w:hAnsi="Arial" w:cs="Arial"/>
          <w:sz w:val="24"/>
          <w:szCs w:val="24"/>
        </w:rPr>
        <w:t xml:space="preserve"> their Medical or Dental degree in the ROI are required to submit an application form to their </w:t>
      </w:r>
      <w:r w:rsidR="000E22ED">
        <w:rPr>
          <w:rFonts w:ascii="Arial" w:hAnsi="Arial" w:cs="Arial"/>
          <w:sz w:val="24"/>
          <w:szCs w:val="24"/>
        </w:rPr>
        <w:t xml:space="preserve">local Student Finance </w:t>
      </w:r>
      <w:r w:rsidR="00FC1D49">
        <w:rPr>
          <w:rFonts w:ascii="Arial" w:hAnsi="Arial" w:cs="Arial"/>
          <w:sz w:val="24"/>
          <w:szCs w:val="24"/>
        </w:rPr>
        <w:t xml:space="preserve">NI </w:t>
      </w:r>
      <w:r w:rsidR="00B47F96">
        <w:rPr>
          <w:rFonts w:ascii="Arial" w:hAnsi="Arial" w:cs="Arial"/>
          <w:sz w:val="24"/>
          <w:szCs w:val="24"/>
        </w:rPr>
        <w:t>office</w:t>
      </w:r>
      <w:r w:rsidR="006C2A8E">
        <w:rPr>
          <w:rFonts w:ascii="Arial" w:hAnsi="Arial" w:cs="Arial"/>
          <w:sz w:val="24"/>
          <w:szCs w:val="24"/>
        </w:rPr>
        <w:t>, to appl</w:t>
      </w:r>
      <w:r w:rsidR="002C7D73">
        <w:rPr>
          <w:rFonts w:ascii="Arial" w:hAnsi="Arial" w:cs="Arial"/>
          <w:sz w:val="24"/>
          <w:szCs w:val="24"/>
        </w:rPr>
        <w:t>y for a Student Contribution</w:t>
      </w:r>
      <w:r w:rsidR="006C2A8E">
        <w:rPr>
          <w:rFonts w:ascii="Arial" w:hAnsi="Arial" w:cs="Arial"/>
          <w:sz w:val="24"/>
          <w:szCs w:val="24"/>
        </w:rPr>
        <w:t xml:space="preserve"> L</w:t>
      </w:r>
      <w:r w:rsidRPr="002D0CBA">
        <w:rPr>
          <w:rFonts w:ascii="Arial" w:hAnsi="Arial" w:cs="Arial"/>
          <w:sz w:val="24"/>
          <w:szCs w:val="24"/>
        </w:rPr>
        <w:t>oan</w:t>
      </w:r>
      <w:r w:rsidR="00156009">
        <w:rPr>
          <w:rFonts w:ascii="Arial" w:hAnsi="Arial" w:cs="Arial"/>
          <w:sz w:val="24"/>
          <w:szCs w:val="24"/>
        </w:rPr>
        <w:t xml:space="preserve"> </w:t>
      </w:r>
      <w:r w:rsidR="00156009" w:rsidRPr="000F363B">
        <w:rPr>
          <w:rFonts w:ascii="Arial" w:hAnsi="Arial" w:cs="Arial"/>
          <w:sz w:val="24"/>
          <w:szCs w:val="24"/>
        </w:rPr>
        <w:t>(</w:t>
      </w:r>
      <w:r w:rsidR="00156009">
        <w:rPr>
          <w:rFonts w:ascii="Arial" w:hAnsi="Arial" w:cs="Arial"/>
          <w:sz w:val="24"/>
          <w:szCs w:val="24"/>
        </w:rPr>
        <w:t>r</w:t>
      </w:r>
      <w:r w:rsidR="00156009" w:rsidRPr="000F363B">
        <w:rPr>
          <w:rFonts w:ascii="Arial" w:hAnsi="Arial" w:cs="Arial"/>
          <w:sz w:val="24"/>
          <w:szCs w:val="24"/>
        </w:rPr>
        <w:t>egistration fee)</w:t>
      </w:r>
      <w:r w:rsidRPr="002D0CBA">
        <w:rPr>
          <w:rFonts w:ascii="Arial" w:hAnsi="Arial" w:cs="Arial"/>
          <w:sz w:val="24"/>
          <w:szCs w:val="24"/>
        </w:rPr>
        <w:t xml:space="preserve"> each academic year.</w:t>
      </w:r>
    </w:p>
    <w:p w14:paraId="53BE5CC9" w14:textId="4793C358" w:rsidR="001C1ADE" w:rsidRPr="001C1ADE" w:rsidRDefault="000E22ED" w:rsidP="000F6963">
      <w:pPr>
        <w:pStyle w:val="Heading2"/>
      </w:pPr>
      <w:r>
        <w:t>Second</w:t>
      </w:r>
      <w:r w:rsidR="001C1ADE" w:rsidRPr="001C1ADE">
        <w:t xml:space="preserve"> </w:t>
      </w:r>
      <w:r w:rsidR="00F90E64" w:rsidRPr="00F90E64">
        <w:t>Primary degree courses including Graduate e</w:t>
      </w:r>
      <w:r w:rsidR="001C1ADE" w:rsidRPr="001C1ADE">
        <w:t>ntry to Medicine</w:t>
      </w:r>
      <w:r w:rsidR="00651570">
        <w:t xml:space="preserve"> </w:t>
      </w:r>
      <w:r w:rsidR="001C1ADE" w:rsidRPr="001C1ADE">
        <w:t>and Dentistry</w:t>
      </w:r>
      <w:r w:rsidR="007B1C3D">
        <w:t xml:space="preserve"> </w:t>
      </w:r>
      <w:r w:rsidR="007B1C3D" w:rsidRPr="008033F8">
        <w:t>at GB institutions</w:t>
      </w:r>
    </w:p>
    <w:p w14:paraId="4B6621CA" w14:textId="3E23E00F" w:rsidR="001C1ADE" w:rsidRPr="002D0CBA" w:rsidRDefault="00F90E64" w:rsidP="000F696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240" w:line="24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2D0CBA">
        <w:rPr>
          <w:rFonts w:ascii="Arial" w:hAnsi="Arial" w:cs="Arial"/>
          <w:sz w:val="24"/>
          <w:szCs w:val="24"/>
        </w:rPr>
        <w:t>Students from N</w:t>
      </w:r>
      <w:r w:rsidR="002D0CBA" w:rsidRPr="002D0CBA">
        <w:rPr>
          <w:rFonts w:ascii="Arial" w:hAnsi="Arial" w:cs="Arial"/>
          <w:sz w:val="24"/>
          <w:szCs w:val="24"/>
        </w:rPr>
        <w:t>orthern</w:t>
      </w:r>
      <w:r w:rsidR="00B4173F">
        <w:rPr>
          <w:rFonts w:ascii="Arial" w:hAnsi="Arial" w:cs="Arial"/>
          <w:sz w:val="24"/>
          <w:szCs w:val="24"/>
        </w:rPr>
        <w:t xml:space="preserve"> Ireland who commence</w:t>
      </w:r>
      <w:r w:rsidR="000E22ED">
        <w:rPr>
          <w:rFonts w:ascii="Arial" w:hAnsi="Arial" w:cs="Arial"/>
          <w:sz w:val="24"/>
          <w:szCs w:val="24"/>
        </w:rPr>
        <w:t xml:space="preserve"> a</w:t>
      </w:r>
      <w:r w:rsidR="00B4173F">
        <w:rPr>
          <w:rFonts w:ascii="Arial" w:hAnsi="Arial" w:cs="Arial"/>
          <w:sz w:val="24"/>
          <w:szCs w:val="24"/>
        </w:rPr>
        <w:t xml:space="preserve"> </w:t>
      </w:r>
      <w:r w:rsidR="000E22ED">
        <w:rPr>
          <w:rFonts w:ascii="Arial" w:hAnsi="Arial" w:cs="Arial"/>
          <w:sz w:val="24"/>
          <w:szCs w:val="24"/>
        </w:rPr>
        <w:t>second</w:t>
      </w:r>
      <w:r w:rsidR="00B4173F">
        <w:rPr>
          <w:rFonts w:ascii="Arial" w:hAnsi="Arial" w:cs="Arial"/>
          <w:sz w:val="24"/>
          <w:szCs w:val="24"/>
        </w:rPr>
        <w:t xml:space="preserve"> </w:t>
      </w:r>
      <w:r w:rsidR="000E22ED">
        <w:rPr>
          <w:rFonts w:ascii="Arial" w:hAnsi="Arial" w:cs="Arial"/>
          <w:sz w:val="24"/>
          <w:szCs w:val="24"/>
        </w:rPr>
        <w:t>primary degree course</w:t>
      </w:r>
      <w:r w:rsidRPr="002D0CBA">
        <w:rPr>
          <w:rFonts w:ascii="Arial" w:hAnsi="Arial" w:cs="Arial"/>
          <w:sz w:val="24"/>
          <w:szCs w:val="24"/>
        </w:rPr>
        <w:t xml:space="preserve"> in the </w:t>
      </w:r>
      <w:r w:rsidR="007B1C3D" w:rsidRPr="005D0ECB">
        <w:rPr>
          <w:rFonts w:ascii="Arial" w:hAnsi="Arial" w:cs="Arial"/>
          <w:color w:val="000000" w:themeColor="text1"/>
          <w:sz w:val="24"/>
          <w:szCs w:val="24"/>
        </w:rPr>
        <w:t>GB</w:t>
      </w:r>
      <w:r w:rsidRPr="002D0CBA">
        <w:rPr>
          <w:rFonts w:ascii="Arial" w:hAnsi="Arial" w:cs="Arial"/>
          <w:sz w:val="24"/>
          <w:szCs w:val="24"/>
        </w:rPr>
        <w:t xml:space="preserve"> or ROI are due limited support under the NI</w:t>
      </w:r>
      <w:r w:rsidR="001C1ADE" w:rsidRPr="002D0CBA">
        <w:rPr>
          <w:rFonts w:ascii="Arial" w:hAnsi="Arial" w:cs="Arial"/>
          <w:sz w:val="24"/>
          <w:szCs w:val="24"/>
        </w:rPr>
        <w:t xml:space="preserve"> </w:t>
      </w:r>
      <w:r w:rsidR="000E22ED">
        <w:rPr>
          <w:rFonts w:ascii="Arial" w:hAnsi="Arial" w:cs="Arial"/>
          <w:sz w:val="24"/>
          <w:szCs w:val="24"/>
        </w:rPr>
        <w:t xml:space="preserve">Education </w:t>
      </w:r>
      <w:r w:rsidR="001C1ADE" w:rsidRPr="002D0CBA">
        <w:rPr>
          <w:rFonts w:ascii="Arial" w:hAnsi="Arial" w:cs="Arial"/>
          <w:sz w:val="24"/>
          <w:szCs w:val="24"/>
        </w:rPr>
        <w:t>Student Support Regulations.</w:t>
      </w:r>
    </w:p>
    <w:p w14:paraId="18486F7F" w14:textId="145BDBE3" w:rsidR="009A5A48" w:rsidRPr="000F363B" w:rsidRDefault="00F90E64" w:rsidP="000F696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240" w:line="24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0F363B">
        <w:rPr>
          <w:rFonts w:ascii="Arial" w:hAnsi="Arial" w:cs="Arial"/>
          <w:sz w:val="24"/>
          <w:szCs w:val="24"/>
        </w:rPr>
        <w:t>Student</w:t>
      </w:r>
      <w:r w:rsidR="006C2A8E">
        <w:rPr>
          <w:rFonts w:ascii="Arial" w:hAnsi="Arial" w:cs="Arial"/>
          <w:sz w:val="24"/>
          <w:szCs w:val="24"/>
        </w:rPr>
        <w:t>s can apply for a means-tested Maintenance L</w:t>
      </w:r>
      <w:r w:rsidRPr="000F363B">
        <w:rPr>
          <w:rFonts w:ascii="Arial" w:hAnsi="Arial" w:cs="Arial"/>
          <w:sz w:val="24"/>
          <w:szCs w:val="24"/>
        </w:rPr>
        <w:t xml:space="preserve">oan and </w:t>
      </w:r>
      <w:r w:rsidR="00A1451E">
        <w:rPr>
          <w:rFonts w:ascii="Arial" w:hAnsi="Arial" w:cs="Arial"/>
          <w:sz w:val="24"/>
          <w:szCs w:val="24"/>
        </w:rPr>
        <w:t xml:space="preserve">other </w:t>
      </w:r>
      <w:r w:rsidRPr="000F363B">
        <w:rPr>
          <w:rFonts w:ascii="Arial" w:hAnsi="Arial" w:cs="Arial"/>
          <w:sz w:val="24"/>
          <w:szCs w:val="24"/>
        </w:rPr>
        <w:t>means-tested grants</w:t>
      </w:r>
      <w:r w:rsidR="009A5A48" w:rsidRPr="000F363B">
        <w:rPr>
          <w:rFonts w:ascii="Arial" w:hAnsi="Arial" w:cs="Arial"/>
          <w:sz w:val="24"/>
          <w:szCs w:val="24"/>
        </w:rPr>
        <w:t xml:space="preserve"> </w:t>
      </w:r>
      <w:r w:rsidR="000F6963">
        <w:rPr>
          <w:rFonts w:ascii="Arial" w:hAnsi="Arial" w:cs="Arial"/>
          <w:sz w:val="24"/>
          <w:szCs w:val="24"/>
        </w:rPr>
        <w:t>i.e.</w:t>
      </w:r>
      <w:r w:rsidR="007B1C3D" w:rsidRPr="000F363B">
        <w:rPr>
          <w:rFonts w:ascii="Arial" w:hAnsi="Arial" w:cs="Arial"/>
          <w:sz w:val="24"/>
          <w:szCs w:val="24"/>
        </w:rPr>
        <w:t xml:space="preserve"> </w:t>
      </w:r>
      <w:r w:rsidR="00096871">
        <w:rPr>
          <w:rFonts w:ascii="Arial" w:hAnsi="Arial" w:cs="Arial"/>
          <w:sz w:val="24"/>
          <w:szCs w:val="24"/>
        </w:rPr>
        <w:t>t</w:t>
      </w:r>
      <w:r w:rsidR="009A5A48" w:rsidRPr="000F363B">
        <w:rPr>
          <w:rFonts w:ascii="Arial" w:hAnsi="Arial" w:cs="Arial"/>
          <w:sz w:val="24"/>
          <w:szCs w:val="24"/>
        </w:rPr>
        <w:t xml:space="preserve">ravel grant and </w:t>
      </w:r>
      <w:r w:rsidR="00096871">
        <w:rPr>
          <w:rFonts w:ascii="Arial" w:hAnsi="Arial" w:cs="Arial"/>
          <w:sz w:val="24"/>
          <w:szCs w:val="24"/>
        </w:rPr>
        <w:t>d</w:t>
      </w:r>
      <w:r w:rsidRPr="000F363B">
        <w:rPr>
          <w:rFonts w:ascii="Arial" w:hAnsi="Arial" w:cs="Arial"/>
          <w:sz w:val="24"/>
          <w:szCs w:val="24"/>
        </w:rPr>
        <w:t>ependents grants</w:t>
      </w:r>
      <w:r w:rsidR="009A5A48" w:rsidRPr="000F363B">
        <w:rPr>
          <w:rFonts w:ascii="Arial" w:hAnsi="Arial" w:cs="Arial"/>
          <w:sz w:val="24"/>
          <w:szCs w:val="24"/>
        </w:rPr>
        <w:t>.</w:t>
      </w:r>
      <w:r w:rsidRPr="000F363B">
        <w:rPr>
          <w:rFonts w:ascii="Arial" w:hAnsi="Arial" w:cs="Arial"/>
          <w:sz w:val="24"/>
          <w:szCs w:val="24"/>
        </w:rPr>
        <w:t xml:space="preserve"> </w:t>
      </w:r>
    </w:p>
    <w:p w14:paraId="06A71591" w14:textId="77777777" w:rsidR="001C1ADE" w:rsidRPr="000F363B" w:rsidRDefault="00747620" w:rsidP="000F696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240" w:line="24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0F363B">
        <w:rPr>
          <w:rFonts w:ascii="Arial" w:hAnsi="Arial" w:cs="Arial"/>
          <w:sz w:val="24"/>
          <w:szCs w:val="24"/>
        </w:rPr>
        <w:t xml:space="preserve">Students with a Disability, Learning Difficulty, etc </w:t>
      </w:r>
      <w:r w:rsidR="00F90E64" w:rsidRPr="000F363B">
        <w:rPr>
          <w:rFonts w:ascii="Arial" w:hAnsi="Arial" w:cs="Arial"/>
          <w:sz w:val="24"/>
          <w:szCs w:val="24"/>
        </w:rPr>
        <w:t>can also apply for the Disabled Students Allowan</w:t>
      </w:r>
      <w:r w:rsidR="001C1ADE" w:rsidRPr="000F363B">
        <w:rPr>
          <w:rFonts w:ascii="Arial" w:hAnsi="Arial" w:cs="Arial"/>
          <w:sz w:val="24"/>
          <w:szCs w:val="24"/>
        </w:rPr>
        <w:t xml:space="preserve">ce which is not means-tested. </w:t>
      </w:r>
    </w:p>
    <w:p w14:paraId="4FC491EB" w14:textId="1317FE02" w:rsidR="001C1ADE" w:rsidRDefault="00F90E64" w:rsidP="000F696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240" w:line="24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0F363B">
        <w:rPr>
          <w:rFonts w:ascii="Arial" w:hAnsi="Arial" w:cs="Arial"/>
          <w:sz w:val="24"/>
          <w:szCs w:val="24"/>
        </w:rPr>
        <w:t xml:space="preserve">Students will be responsible for payment of the </w:t>
      </w:r>
      <w:r w:rsidR="006C2A8E">
        <w:rPr>
          <w:rFonts w:ascii="Arial" w:hAnsi="Arial" w:cs="Arial"/>
          <w:sz w:val="24"/>
          <w:szCs w:val="24"/>
        </w:rPr>
        <w:t>t</w:t>
      </w:r>
      <w:r w:rsidRPr="000F363B">
        <w:rPr>
          <w:rFonts w:ascii="Arial" w:hAnsi="Arial" w:cs="Arial"/>
          <w:sz w:val="24"/>
          <w:szCs w:val="24"/>
        </w:rPr>
        <w:t xml:space="preserve">uition </w:t>
      </w:r>
      <w:r w:rsidR="006C2A8E">
        <w:rPr>
          <w:rFonts w:ascii="Arial" w:hAnsi="Arial" w:cs="Arial"/>
          <w:sz w:val="24"/>
          <w:szCs w:val="24"/>
        </w:rPr>
        <w:t>f</w:t>
      </w:r>
      <w:r w:rsidRPr="000F363B">
        <w:rPr>
          <w:rFonts w:ascii="Arial" w:hAnsi="Arial" w:cs="Arial"/>
          <w:sz w:val="24"/>
          <w:szCs w:val="24"/>
        </w:rPr>
        <w:t xml:space="preserve">ees or </w:t>
      </w:r>
      <w:r w:rsidR="006C2A8E">
        <w:rPr>
          <w:rFonts w:ascii="Arial" w:hAnsi="Arial" w:cs="Arial"/>
          <w:sz w:val="24"/>
          <w:szCs w:val="24"/>
        </w:rPr>
        <w:t>S</w:t>
      </w:r>
      <w:r w:rsidR="009377E9" w:rsidRPr="000F363B">
        <w:rPr>
          <w:rFonts w:ascii="Arial" w:hAnsi="Arial" w:cs="Arial"/>
          <w:sz w:val="24"/>
          <w:szCs w:val="24"/>
        </w:rPr>
        <w:t>tudent Contribution Charge (</w:t>
      </w:r>
      <w:r w:rsidR="00156009">
        <w:rPr>
          <w:rFonts w:ascii="Arial" w:hAnsi="Arial" w:cs="Arial"/>
          <w:sz w:val="24"/>
          <w:szCs w:val="24"/>
        </w:rPr>
        <w:t>r</w:t>
      </w:r>
      <w:r w:rsidRPr="000F363B">
        <w:rPr>
          <w:rFonts w:ascii="Arial" w:hAnsi="Arial" w:cs="Arial"/>
          <w:sz w:val="24"/>
          <w:szCs w:val="24"/>
        </w:rPr>
        <w:t>egistration</w:t>
      </w:r>
      <w:r w:rsidR="009377E9" w:rsidRPr="000F363B">
        <w:rPr>
          <w:rFonts w:ascii="Arial" w:hAnsi="Arial" w:cs="Arial"/>
          <w:sz w:val="24"/>
          <w:szCs w:val="24"/>
        </w:rPr>
        <w:t xml:space="preserve"> fee)</w:t>
      </w:r>
      <w:r w:rsidRPr="000F363B">
        <w:rPr>
          <w:rFonts w:ascii="Arial" w:hAnsi="Arial" w:cs="Arial"/>
          <w:sz w:val="24"/>
          <w:szCs w:val="24"/>
        </w:rPr>
        <w:t xml:space="preserve"> to their university for t</w:t>
      </w:r>
      <w:r w:rsidR="00B4173F" w:rsidRPr="000F363B">
        <w:rPr>
          <w:rFonts w:ascii="Arial" w:hAnsi="Arial" w:cs="Arial"/>
          <w:sz w:val="24"/>
          <w:szCs w:val="24"/>
        </w:rPr>
        <w:t xml:space="preserve">he complete duration of the </w:t>
      </w:r>
      <w:r w:rsidR="000E22ED">
        <w:rPr>
          <w:rFonts w:ascii="Arial" w:hAnsi="Arial" w:cs="Arial"/>
          <w:sz w:val="24"/>
          <w:szCs w:val="24"/>
        </w:rPr>
        <w:t>second</w:t>
      </w:r>
      <w:r w:rsidR="00B4173F" w:rsidRPr="000F363B">
        <w:rPr>
          <w:rFonts w:ascii="Arial" w:hAnsi="Arial" w:cs="Arial"/>
          <w:sz w:val="24"/>
          <w:szCs w:val="24"/>
        </w:rPr>
        <w:t xml:space="preserve"> </w:t>
      </w:r>
      <w:r w:rsidRPr="000F363B">
        <w:rPr>
          <w:rFonts w:ascii="Arial" w:hAnsi="Arial" w:cs="Arial"/>
          <w:sz w:val="24"/>
          <w:szCs w:val="24"/>
        </w:rPr>
        <w:t>primary degre</w:t>
      </w:r>
      <w:r w:rsidRPr="002D0CBA">
        <w:rPr>
          <w:rFonts w:ascii="Arial" w:hAnsi="Arial" w:cs="Arial"/>
          <w:sz w:val="24"/>
          <w:szCs w:val="24"/>
        </w:rPr>
        <w:t>e course.</w:t>
      </w:r>
    </w:p>
    <w:p w14:paraId="11B4200B" w14:textId="77777777" w:rsidR="007B1C3D" w:rsidRDefault="007B1C3D">
      <w:pPr>
        <w:spacing w:after="200" w:line="276" w:lineRule="auto"/>
        <w:rPr>
          <w:rFonts w:ascii="Arial" w:eastAsiaTheme="minorHAnsi" w:hAnsi="Arial" w:cs="Arial"/>
          <w:color w:val="FF0000"/>
          <w:sz w:val="32"/>
          <w:szCs w:val="32"/>
          <w:lang w:eastAsia="en-US"/>
        </w:rPr>
      </w:pPr>
      <w:r>
        <w:rPr>
          <w:rFonts w:ascii="Arial" w:eastAsiaTheme="minorHAnsi" w:hAnsi="Arial" w:cs="Arial"/>
          <w:color w:val="FF0000"/>
          <w:sz w:val="32"/>
          <w:szCs w:val="32"/>
          <w:lang w:eastAsia="en-US"/>
        </w:rPr>
        <w:br w:type="page"/>
      </w:r>
    </w:p>
    <w:p w14:paraId="5F18AFDC" w14:textId="4B5E5D2C" w:rsidR="00AC0761" w:rsidRPr="00682227" w:rsidRDefault="00AC0761" w:rsidP="00AC0761">
      <w:pPr>
        <w:autoSpaceDE w:val="0"/>
        <w:autoSpaceDN w:val="0"/>
        <w:adjustRightInd w:val="0"/>
        <w:spacing w:after="240"/>
        <w:ind w:left="357"/>
        <w:rPr>
          <w:rFonts w:ascii="Arial" w:eastAsiaTheme="minorHAnsi" w:hAnsi="Arial" w:cs="Arial"/>
          <w:color w:val="0070C0"/>
          <w:sz w:val="32"/>
          <w:szCs w:val="32"/>
          <w:lang w:eastAsia="en-US"/>
        </w:rPr>
      </w:pPr>
      <w:r w:rsidRPr="00682227">
        <w:rPr>
          <w:rFonts w:ascii="Arial" w:eastAsiaTheme="minorHAnsi" w:hAnsi="Arial" w:cs="Arial"/>
          <w:color w:val="0070C0"/>
          <w:sz w:val="32"/>
          <w:szCs w:val="32"/>
          <w:lang w:eastAsia="en-US"/>
        </w:rPr>
        <w:lastRenderedPageBreak/>
        <w:t>Graduate Entry Medicine</w:t>
      </w:r>
      <w:r w:rsidR="007B1C3D" w:rsidRPr="00682227">
        <w:rPr>
          <w:rFonts w:ascii="Arial" w:eastAsiaTheme="minorHAnsi" w:hAnsi="Arial" w:cs="Arial"/>
          <w:color w:val="0070C0"/>
          <w:sz w:val="32"/>
          <w:szCs w:val="32"/>
          <w:lang w:eastAsia="en-US"/>
        </w:rPr>
        <w:t xml:space="preserve"> (</w:t>
      </w:r>
      <w:r w:rsidR="00C26463">
        <w:rPr>
          <w:rFonts w:ascii="Arial" w:eastAsiaTheme="minorHAnsi" w:hAnsi="Arial" w:cs="Arial"/>
          <w:color w:val="0070C0"/>
          <w:sz w:val="32"/>
          <w:szCs w:val="32"/>
          <w:lang w:eastAsia="en-US"/>
        </w:rPr>
        <w:t>GEM</w:t>
      </w:r>
      <w:r w:rsidR="007B1C3D" w:rsidRPr="00682227">
        <w:rPr>
          <w:rFonts w:ascii="Arial" w:eastAsiaTheme="minorHAnsi" w:hAnsi="Arial" w:cs="Arial"/>
          <w:color w:val="0070C0"/>
          <w:sz w:val="32"/>
          <w:szCs w:val="32"/>
          <w:lang w:eastAsia="en-US"/>
        </w:rPr>
        <w:t>)</w:t>
      </w:r>
      <w:r w:rsidRPr="00682227">
        <w:rPr>
          <w:rFonts w:ascii="Arial" w:eastAsiaTheme="minorHAnsi" w:hAnsi="Arial" w:cs="Arial"/>
          <w:color w:val="0070C0"/>
          <w:sz w:val="32"/>
          <w:szCs w:val="32"/>
          <w:lang w:eastAsia="en-US"/>
        </w:rPr>
        <w:t xml:space="preserve"> at </w:t>
      </w:r>
      <w:r w:rsidR="007B1C3D" w:rsidRPr="00682227">
        <w:rPr>
          <w:rFonts w:ascii="Arial" w:eastAsiaTheme="minorHAnsi" w:hAnsi="Arial" w:cs="Arial"/>
          <w:color w:val="0070C0"/>
          <w:sz w:val="32"/>
          <w:szCs w:val="32"/>
          <w:lang w:eastAsia="en-US"/>
        </w:rPr>
        <w:t>Ulster University Magee</w:t>
      </w:r>
    </w:p>
    <w:p w14:paraId="198C0AB9" w14:textId="77777777" w:rsidR="005828B9" w:rsidRPr="005828B9" w:rsidRDefault="005828B9" w:rsidP="005828B9">
      <w:pPr>
        <w:autoSpaceDE w:val="0"/>
        <w:autoSpaceDN w:val="0"/>
        <w:adjustRightInd w:val="0"/>
        <w:spacing w:after="240"/>
        <w:ind w:left="357"/>
        <w:rPr>
          <w:rFonts w:ascii="Arial" w:hAnsi="Arial" w:cs="Arial"/>
          <w:color w:val="000000" w:themeColor="text1"/>
        </w:rPr>
      </w:pPr>
      <w:r w:rsidRPr="005828B9">
        <w:rPr>
          <w:rFonts w:ascii="Arial" w:hAnsi="Arial" w:cs="Arial"/>
          <w:color w:val="000000" w:themeColor="text1"/>
        </w:rPr>
        <w:t>From 2025/26, new and existing Northern Ireland domiciled students will be eligible to apply for a Tuition Fee loan of up to £4855 for the full-time Graduate Entry Medicine course at Ulster University, Magee.  They will also be eligible to apply for a means tested maintenance loan and other means tested grants, i.e. travel, dependants grants.</w:t>
      </w:r>
    </w:p>
    <w:p w14:paraId="2C840864" w14:textId="77777777" w:rsidR="005828B9" w:rsidRPr="005828B9" w:rsidRDefault="005828B9" w:rsidP="005828B9">
      <w:pPr>
        <w:autoSpaceDE w:val="0"/>
        <w:autoSpaceDN w:val="0"/>
        <w:adjustRightInd w:val="0"/>
        <w:spacing w:after="240"/>
        <w:ind w:left="357"/>
        <w:rPr>
          <w:rFonts w:ascii="Arial" w:hAnsi="Arial" w:cs="Arial"/>
          <w:color w:val="000000" w:themeColor="text1"/>
        </w:rPr>
      </w:pPr>
      <w:r w:rsidRPr="005828B9">
        <w:rPr>
          <w:rFonts w:ascii="Arial" w:hAnsi="Arial" w:cs="Arial"/>
          <w:color w:val="000000" w:themeColor="text1"/>
        </w:rPr>
        <w:t>Students with a Disability, Learning Difficulty, etc can also apply for the Disabled Students Allowance which is not means-tested.</w:t>
      </w:r>
    </w:p>
    <w:p w14:paraId="5793A634" w14:textId="0C69BD5B" w:rsidR="00AC0761" w:rsidRPr="005D0ECB" w:rsidRDefault="005828B9" w:rsidP="005828B9">
      <w:pPr>
        <w:autoSpaceDE w:val="0"/>
        <w:autoSpaceDN w:val="0"/>
        <w:adjustRightInd w:val="0"/>
        <w:spacing w:after="240"/>
        <w:ind w:left="357"/>
        <w:rPr>
          <w:rFonts w:ascii="Arial" w:hAnsi="Arial" w:cs="Arial"/>
          <w:color w:val="000000" w:themeColor="text1"/>
        </w:rPr>
      </w:pPr>
      <w:r w:rsidRPr="005828B9">
        <w:rPr>
          <w:rFonts w:ascii="Arial" w:hAnsi="Arial" w:cs="Arial"/>
          <w:color w:val="000000" w:themeColor="text1"/>
        </w:rPr>
        <w:t>Students are not eligible for a Maintenance Grant or a DoH bursary</w:t>
      </w:r>
      <w:r w:rsidR="00C26463">
        <w:rPr>
          <w:rFonts w:ascii="Arial" w:hAnsi="Arial" w:cs="Arial"/>
          <w:color w:val="000000" w:themeColor="text1"/>
        </w:rPr>
        <w:t>.</w:t>
      </w:r>
    </w:p>
    <w:sectPr w:rsidR="00AC0761" w:rsidRPr="005D0ECB" w:rsidSect="00903968">
      <w:footerReference w:type="default" r:id="rId12"/>
      <w:pgSz w:w="11906" w:h="16838"/>
      <w:pgMar w:top="709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0CC84" w14:textId="77777777" w:rsidR="00553488" w:rsidRDefault="00553488" w:rsidP="002017A9">
      <w:r>
        <w:separator/>
      </w:r>
    </w:p>
  </w:endnote>
  <w:endnote w:type="continuationSeparator" w:id="0">
    <w:p w14:paraId="6EEE87EC" w14:textId="77777777" w:rsidR="00553488" w:rsidRDefault="00553488" w:rsidP="00201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13079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BCD3AB" w14:textId="4DFDAC59" w:rsidR="005D0ECB" w:rsidRDefault="005D0EC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33F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D222285" w14:textId="0FD59152" w:rsidR="00B42644" w:rsidRPr="00903968" w:rsidRDefault="00B42644">
    <w:pPr>
      <w:pStyle w:val="Foo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D92EE" w14:textId="77777777" w:rsidR="00553488" w:rsidRDefault="00553488" w:rsidP="002017A9">
      <w:r>
        <w:separator/>
      </w:r>
    </w:p>
  </w:footnote>
  <w:footnote w:type="continuationSeparator" w:id="0">
    <w:p w14:paraId="581A3429" w14:textId="77777777" w:rsidR="00553488" w:rsidRDefault="00553488" w:rsidP="00201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0EDC"/>
    <w:multiLevelType w:val="hybridMultilevel"/>
    <w:tmpl w:val="780E2E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5C7317"/>
    <w:multiLevelType w:val="hybridMultilevel"/>
    <w:tmpl w:val="F72E4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54E05"/>
    <w:multiLevelType w:val="hybridMultilevel"/>
    <w:tmpl w:val="31FC0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D7495E"/>
    <w:multiLevelType w:val="hybridMultilevel"/>
    <w:tmpl w:val="2A16E4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554C53"/>
    <w:multiLevelType w:val="hybridMultilevel"/>
    <w:tmpl w:val="C3FAD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574FDE"/>
    <w:multiLevelType w:val="hybridMultilevel"/>
    <w:tmpl w:val="95E873DC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64DF05F5"/>
    <w:multiLevelType w:val="hybridMultilevel"/>
    <w:tmpl w:val="78F0F2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9A5EF4"/>
    <w:multiLevelType w:val="hybridMultilevel"/>
    <w:tmpl w:val="10BA2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8626167">
    <w:abstractNumId w:val="7"/>
  </w:num>
  <w:num w:numId="2" w16cid:durableId="2085251611">
    <w:abstractNumId w:val="3"/>
  </w:num>
  <w:num w:numId="3" w16cid:durableId="439959107">
    <w:abstractNumId w:val="0"/>
  </w:num>
  <w:num w:numId="4" w16cid:durableId="127936384">
    <w:abstractNumId w:val="2"/>
  </w:num>
  <w:num w:numId="5" w16cid:durableId="1967618371">
    <w:abstractNumId w:val="4"/>
  </w:num>
  <w:num w:numId="6" w16cid:durableId="532229005">
    <w:abstractNumId w:val="1"/>
  </w:num>
  <w:num w:numId="7" w16cid:durableId="2074346716">
    <w:abstractNumId w:val="6"/>
  </w:num>
  <w:num w:numId="8" w16cid:durableId="119977594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353"/>
    <w:rsid w:val="00003549"/>
    <w:rsid w:val="00007F78"/>
    <w:rsid w:val="0001512F"/>
    <w:rsid w:val="00017355"/>
    <w:rsid w:val="0002450A"/>
    <w:rsid w:val="00026D4D"/>
    <w:rsid w:val="00034C7A"/>
    <w:rsid w:val="00044FFF"/>
    <w:rsid w:val="00045E58"/>
    <w:rsid w:val="00051E4E"/>
    <w:rsid w:val="00054192"/>
    <w:rsid w:val="0005460D"/>
    <w:rsid w:val="00062245"/>
    <w:rsid w:val="00070CA9"/>
    <w:rsid w:val="00071EA2"/>
    <w:rsid w:val="00077968"/>
    <w:rsid w:val="00080CC7"/>
    <w:rsid w:val="000965C1"/>
    <w:rsid w:val="00096871"/>
    <w:rsid w:val="000B077D"/>
    <w:rsid w:val="000B0AD5"/>
    <w:rsid w:val="000B7720"/>
    <w:rsid w:val="000C0533"/>
    <w:rsid w:val="000C3981"/>
    <w:rsid w:val="000C68A5"/>
    <w:rsid w:val="000D3B45"/>
    <w:rsid w:val="000E22ED"/>
    <w:rsid w:val="000F1626"/>
    <w:rsid w:val="000F363B"/>
    <w:rsid w:val="000F6963"/>
    <w:rsid w:val="000F7CBE"/>
    <w:rsid w:val="0010774D"/>
    <w:rsid w:val="00107B6E"/>
    <w:rsid w:val="00113F9C"/>
    <w:rsid w:val="00123C4C"/>
    <w:rsid w:val="00132F82"/>
    <w:rsid w:val="001446C6"/>
    <w:rsid w:val="001520DB"/>
    <w:rsid w:val="00156009"/>
    <w:rsid w:val="001566A0"/>
    <w:rsid w:val="001606D8"/>
    <w:rsid w:val="00170688"/>
    <w:rsid w:val="001706A9"/>
    <w:rsid w:val="00184EC5"/>
    <w:rsid w:val="00195EBE"/>
    <w:rsid w:val="001A7342"/>
    <w:rsid w:val="001C1ADE"/>
    <w:rsid w:val="001D00D1"/>
    <w:rsid w:val="001D4E8C"/>
    <w:rsid w:val="001D66F2"/>
    <w:rsid w:val="001D7579"/>
    <w:rsid w:val="001E39D6"/>
    <w:rsid w:val="001E4BC3"/>
    <w:rsid w:val="001E692A"/>
    <w:rsid w:val="001E6AB2"/>
    <w:rsid w:val="002017A9"/>
    <w:rsid w:val="00212F82"/>
    <w:rsid w:val="00215D87"/>
    <w:rsid w:val="00215FCD"/>
    <w:rsid w:val="002272A1"/>
    <w:rsid w:val="00236616"/>
    <w:rsid w:val="002368FB"/>
    <w:rsid w:val="002461B9"/>
    <w:rsid w:val="0024645C"/>
    <w:rsid w:val="00270138"/>
    <w:rsid w:val="002702D7"/>
    <w:rsid w:val="002764D0"/>
    <w:rsid w:val="002833F5"/>
    <w:rsid w:val="0028406E"/>
    <w:rsid w:val="002A73C5"/>
    <w:rsid w:val="002B04E1"/>
    <w:rsid w:val="002B2DDB"/>
    <w:rsid w:val="002B63E8"/>
    <w:rsid w:val="002C2310"/>
    <w:rsid w:val="002C7D73"/>
    <w:rsid w:val="002D0CBA"/>
    <w:rsid w:val="002F2ACF"/>
    <w:rsid w:val="002F63AF"/>
    <w:rsid w:val="002F77CB"/>
    <w:rsid w:val="00307FE2"/>
    <w:rsid w:val="00314ACD"/>
    <w:rsid w:val="00314D44"/>
    <w:rsid w:val="00314DE3"/>
    <w:rsid w:val="0032307B"/>
    <w:rsid w:val="00327647"/>
    <w:rsid w:val="00331ABD"/>
    <w:rsid w:val="00332BA7"/>
    <w:rsid w:val="003358F2"/>
    <w:rsid w:val="00345B43"/>
    <w:rsid w:val="00353AF7"/>
    <w:rsid w:val="0035767D"/>
    <w:rsid w:val="0036360A"/>
    <w:rsid w:val="00376C24"/>
    <w:rsid w:val="003900B3"/>
    <w:rsid w:val="00395BF2"/>
    <w:rsid w:val="00397E9A"/>
    <w:rsid w:val="003A0270"/>
    <w:rsid w:val="003A301A"/>
    <w:rsid w:val="003D4AC8"/>
    <w:rsid w:val="003D73FD"/>
    <w:rsid w:val="003E1029"/>
    <w:rsid w:val="003E5448"/>
    <w:rsid w:val="003E6459"/>
    <w:rsid w:val="003E672E"/>
    <w:rsid w:val="003F2B06"/>
    <w:rsid w:val="003F3208"/>
    <w:rsid w:val="00433C60"/>
    <w:rsid w:val="004618B8"/>
    <w:rsid w:val="00464029"/>
    <w:rsid w:val="00474BAD"/>
    <w:rsid w:val="00474EEF"/>
    <w:rsid w:val="00481C11"/>
    <w:rsid w:val="0049714D"/>
    <w:rsid w:val="004D6938"/>
    <w:rsid w:val="004E0803"/>
    <w:rsid w:val="004E68EC"/>
    <w:rsid w:val="00523656"/>
    <w:rsid w:val="005237D5"/>
    <w:rsid w:val="00535EC2"/>
    <w:rsid w:val="005477B3"/>
    <w:rsid w:val="00552FA6"/>
    <w:rsid w:val="00553488"/>
    <w:rsid w:val="00555EF2"/>
    <w:rsid w:val="005565B8"/>
    <w:rsid w:val="00562547"/>
    <w:rsid w:val="00566934"/>
    <w:rsid w:val="00581835"/>
    <w:rsid w:val="005828B9"/>
    <w:rsid w:val="00586E2A"/>
    <w:rsid w:val="00597DD1"/>
    <w:rsid w:val="005A501E"/>
    <w:rsid w:val="005A65E3"/>
    <w:rsid w:val="005A75A8"/>
    <w:rsid w:val="005C5D66"/>
    <w:rsid w:val="005D0ECB"/>
    <w:rsid w:val="005D5D6B"/>
    <w:rsid w:val="005D6EBF"/>
    <w:rsid w:val="006453F2"/>
    <w:rsid w:val="00651570"/>
    <w:rsid w:val="00662C65"/>
    <w:rsid w:val="0066489F"/>
    <w:rsid w:val="00682227"/>
    <w:rsid w:val="00692E8A"/>
    <w:rsid w:val="00694905"/>
    <w:rsid w:val="00695DE6"/>
    <w:rsid w:val="006A6D3B"/>
    <w:rsid w:val="006B5FA1"/>
    <w:rsid w:val="006C2A8E"/>
    <w:rsid w:val="006D22D0"/>
    <w:rsid w:val="006F1B82"/>
    <w:rsid w:val="006F2712"/>
    <w:rsid w:val="007050A5"/>
    <w:rsid w:val="00747620"/>
    <w:rsid w:val="00770314"/>
    <w:rsid w:val="00781FC3"/>
    <w:rsid w:val="00786E66"/>
    <w:rsid w:val="007906FC"/>
    <w:rsid w:val="007927AE"/>
    <w:rsid w:val="0079653B"/>
    <w:rsid w:val="007A1353"/>
    <w:rsid w:val="007A7184"/>
    <w:rsid w:val="007A7841"/>
    <w:rsid w:val="007B1C3D"/>
    <w:rsid w:val="008033F8"/>
    <w:rsid w:val="00813F59"/>
    <w:rsid w:val="008160E8"/>
    <w:rsid w:val="00821A2D"/>
    <w:rsid w:val="00830E4F"/>
    <w:rsid w:val="00846F5B"/>
    <w:rsid w:val="008635C3"/>
    <w:rsid w:val="008754D0"/>
    <w:rsid w:val="0087749E"/>
    <w:rsid w:val="00883B37"/>
    <w:rsid w:val="008853E4"/>
    <w:rsid w:val="008857F5"/>
    <w:rsid w:val="008C4386"/>
    <w:rsid w:val="008D42E9"/>
    <w:rsid w:val="008D7615"/>
    <w:rsid w:val="00903968"/>
    <w:rsid w:val="00903D7F"/>
    <w:rsid w:val="00916CDC"/>
    <w:rsid w:val="009377E9"/>
    <w:rsid w:val="00952371"/>
    <w:rsid w:val="00954D19"/>
    <w:rsid w:val="0095591F"/>
    <w:rsid w:val="0095780A"/>
    <w:rsid w:val="00957D75"/>
    <w:rsid w:val="00966241"/>
    <w:rsid w:val="009721C8"/>
    <w:rsid w:val="00973869"/>
    <w:rsid w:val="00980382"/>
    <w:rsid w:val="00984A41"/>
    <w:rsid w:val="009A307F"/>
    <w:rsid w:val="009A5131"/>
    <w:rsid w:val="009A5A48"/>
    <w:rsid w:val="009C01AF"/>
    <w:rsid w:val="009D306D"/>
    <w:rsid w:val="009E3EF7"/>
    <w:rsid w:val="009F5341"/>
    <w:rsid w:val="00A1451E"/>
    <w:rsid w:val="00A26E7D"/>
    <w:rsid w:val="00A26EF4"/>
    <w:rsid w:val="00A31126"/>
    <w:rsid w:val="00A459BC"/>
    <w:rsid w:val="00A53A73"/>
    <w:rsid w:val="00A63E27"/>
    <w:rsid w:val="00A77A76"/>
    <w:rsid w:val="00AA7A59"/>
    <w:rsid w:val="00AB3D78"/>
    <w:rsid w:val="00AB4F1D"/>
    <w:rsid w:val="00AC0761"/>
    <w:rsid w:val="00AC1BFE"/>
    <w:rsid w:val="00AC5F6F"/>
    <w:rsid w:val="00AD3AF8"/>
    <w:rsid w:val="00AD7A64"/>
    <w:rsid w:val="00AE084D"/>
    <w:rsid w:val="00AE2576"/>
    <w:rsid w:val="00AF03CC"/>
    <w:rsid w:val="00AF1EB2"/>
    <w:rsid w:val="00AF6355"/>
    <w:rsid w:val="00B25108"/>
    <w:rsid w:val="00B25C83"/>
    <w:rsid w:val="00B4173F"/>
    <w:rsid w:val="00B42644"/>
    <w:rsid w:val="00B47F96"/>
    <w:rsid w:val="00B5326D"/>
    <w:rsid w:val="00B566FC"/>
    <w:rsid w:val="00B71627"/>
    <w:rsid w:val="00B741D1"/>
    <w:rsid w:val="00B96D43"/>
    <w:rsid w:val="00BA4E27"/>
    <w:rsid w:val="00BA5651"/>
    <w:rsid w:val="00BA5DC7"/>
    <w:rsid w:val="00BA74A0"/>
    <w:rsid w:val="00BB0EF6"/>
    <w:rsid w:val="00BC0CD9"/>
    <w:rsid w:val="00BC130C"/>
    <w:rsid w:val="00BC18CD"/>
    <w:rsid w:val="00BC1D54"/>
    <w:rsid w:val="00BC2B9E"/>
    <w:rsid w:val="00BC2F9B"/>
    <w:rsid w:val="00BC4297"/>
    <w:rsid w:val="00BC5BE4"/>
    <w:rsid w:val="00BD1F03"/>
    <w:rsid w:val="00BD3400"/>
    <w:rsid w:val="00BE4BD8"/>
    <w:rsid w:val="00BE7AC6"/>
    <w:rsid w:val="00BF2DE6"/>
    <w:rsid w:val="00C110DB"/>
    <w:rsid w:val="00C1735D"/>
    <w:rsid w:val="00C20057"/>
    <w:rsid w:val="00C25246"/>
    <w:rsid w:val="00C26463"/>
    <w:rsid w:val="00C26BF4"/>
    <w:rsid w:val="00C303E2"/>
    <w:rsid w:val="00C35A22"/>
    <w:rsid w:val="00C44A6E"/>
    <w:rsid w:val="00C4761E"/>
    <w:rsid w:val="00C52DDE"/>
    <w:rsid w:val="00C75D82"/>
    <w:rsid w:val="00C77831"/>
    <w:rsid w:val="00C94027"/>
    <w:rsid w:val="00CC6FE2"/>
    <w:rsid w:val="00CE426E"/>
    <w:rsid w:val="00CF1905"/>
    <w:rsid w:val="00CF2C39"/>
    <w:rsid w:val="00D00869"/>
    <w:rsid w:val="00D06B4C"/>
    <w:rsid w:val="00D11FC1"/>
    <w:rsid w:val="00D14975"/>
    <w:rsid w:val="00D416DB"/>
    <w:rsid w:val="00D43155"/>
    <w:rsid w:val="00D43747"/>
    <w:rsid w:val="00D45FF3"/>
    <w:rsid w:val="00D653BC"/>
    <w:rsid w:val="00D92D9D"/>
    <w:rsid w:val="00D964D8"/>
    <w:rsid w:val="00DA28F5"/>
    <w:rsid w:val="00DB071C"/>
    <w:rsid w:val="00DB209B"/>
    <w:rsid w:val="00DB65C3"/>
    <w:rsid w:val="00E06F96"/>
    <w:rsid w:val="00E072ED"/>
    <w:rsid w:val="00E14C02"/>
    <w:rsid w:val="00E157DC"/>
    <w:rsid w:val="00E207B2"/>
    <w:rsid w:val="00E23D38"/>
    <w:rsid w:val="00E53D76"/>
    <w:rsid w:val="00E70377"/>
    <w:rsid w:val="00EA4768"/>
    <w:rsid w:val="00EB2D75"/>
    <w:rsid w:val="00EC7116"/>
    <w:rsid w:val="00EC7431"/>
    <w:rsid w:val="00ED243F"/>
    <w:rsid w:val="00EE25B3"/>
    <w:rsid w:val="00EF3A2F"/>
    <w:rsid w:val="00EF5BD2"/>
    <w:rsid w:val="00F072E1"/>
    <w:rsid w:val="00F159C0"/>
    <w:rsid w:val="00F259D3"/>
    <w:rsid w:val="00F31584"/>
    <w:rsid w:val="00F5190E"/>
    <w:rsid w:val="00F57047"/>
    <w:rsid w:val="00F636F0"/>
    <w:rsid w:val="00F72606"/>
    <w:rsid w:val="00F810DB"/>
    <w:rsid w:val="00F81A35"/>
    <w:rsid w:val="00F90E64"/>
    <w:rsid w:val="00F944F7"/>
    <w:rsid w:val="00FA5BFC"/>
    <w:rsid w:val="00FC0165"/>
    <w:rsid w:val="00FC1B62"/>
    <w:rsid w:val="00FC1D49"/>
    <w:rsid w:val="00FC2614"/>
    <w:rsid w:val="00FD1F31"/>
    <w:rsid w:val="00FD41CE"/>
    <w:rsid w:val="00FD5DCC"/>
    <w:rsid w:val="00FE214E"/>
    <w:rsid w:val="00FE7DF6"/>
    <w:rsid w:val="00FF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C40E667"/>
  <w15:docId w15:val="{AA7A45A4-655F-45EE-93C3-89542F3E1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5BFC"/>
    <w:pPr>
      <w:autoSpaceDE w:val="0"/>
      <w:autoSpaceDN w:val="0"/>
      <w:adjustRightInd w:val="0"/>
      <w:spacing w:after="240"/>
      <w:outlineLvl w:val="0"/>
    </w:pPr>
    <w:rPr>
      <w:rFonts w:ascii="Arial" w:eastAsiaTheme="minorHAnsi" w:hAnsi="Arial" w:cs="Arial"/>
      <w:bCs/>
      <w:color w:val="0070C0"/>
      <w:sz w:val="36"/>
      <w:szCs w:val="36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5BFC"/>
    <w:pPr>
      <w:autoSpaceDE w:val="0"/>
      <w:autoSpaceDN w:val="0"/>
      <w:adjustRightInd w:val="0"/>
      <w:spacing w:after="240"/>
      <w:outlineLvl w:val="1"/>
    </w:pPr>
    <w:rPr>
      <w:rFonts w:ascii="Arial" w:eastAsiaTheme="minorHAnsi" w:hAnsi="Arial" w:cs="Arial"/>
      <w:color w:val="0070C0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4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426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18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8CD"/>
    <w:rPr>
      <w:rFonts w:ascii="Tahoma" w:eastAsia="Times New Roman" w:hAnsi="Tahoma" w:cs="Tahoma"/>
      <w:sz w:val="16"/>
      <w:szCs w:val="16"/>
      <w:lang w:eastAsia="en-GB"/>
    </w:rPr>
  </w:style>
  <w:style w:type="paragraph" w:customStyle="1" w:styleId="Default">
    <w:name w:val="Default"/>
    <w:rsid w:val="002017A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017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17A9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017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17A9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C35A22"/>
    <w:rPr>
      <w:color w:val="EB8803" w:themeColor="hyperlink"/>
      <w:u w:val="single"/>
    </w:rPr>
  </w:style>
  <w:style w:type="character" w:customStyle="1" w:styleId="ya-q-full-text">
    <w:name w:val="ya-q-full-text"/>
    <w:basedOn w:val="DefaultParagraphFont"/>
    <w:rsid w:val="0002450A"/>
  </w:style>
  <w:style w:type="paragraph" w:customStyle="1" w:styleId="Numbered">
    <w:name w:val="Numbered"/>
    <w:basedOn w:val="Normal"/>
    <w:rsid w:val="001E39D6"/>
    <w:pPr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rFonts w:ascii="Arial" w:hAnsi="Arial"/>
      <w:sz w:val="22"/>
      <w:szCs w:val="20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FA5BFC"/>
    <w:pPr>
      <w:autoSpaceDE w:val="0"/>
      <w:autoSpaceDN w:val="0"/>
      <w:adjustRightInd w:val="0"/>
      <w:spacing w:before="480" w:after="480"/>
    </w:pPr>
    <w:rPr>
      <w:rFonts w:ascii="Arial" w:eastAsiaTheme="minorHAnsi" w:hAnsi="Arial" w:cs="Arial"/>
      <w:color w:val="0070C0"/>
      <w:sz w:val="40"/>
      <w:szCs w:val="40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FA5BFC"/>
    <w:rPr>
      <w:rFonts w:ascii="Arial" w:hAnsi="Arial" w:cs="Arial"/>
      <w:color w:val="0070C0"/>
      <w:sz w:val="40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FA5BFC"/>
    <w:rPr>
      <w:rFonts w:ascii="Arial" w:hAnsi="Arial" w:cs="Arial"/>
      <w:bCs/>
      <w:color w:val="0070C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A5BFC"/>
    <w:rPr>
      <w:rFonts w:ascii="Arial" w:hAnsi="Arial" w:cs="Arial"/>
      <w:color w:val="0070C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4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4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3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8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82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412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487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125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8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8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8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86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17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74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996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27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170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818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8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Metro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0bd3c10-7d4c-418a-8b23-1e5c1a9a5df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C6120F93F6B848B1089922FE0BF507" ma:contentTypeVersion="18" ma:contentTypeDescription="Create a new document." ma:contentTypeScope="" ma:versionID="ede1d05199721cc8daacbb9b2ba3d5a8">
  <xsd:schema xmlns:xsd="http://www.w3.org/2001/XMLSchema" xmlns:xs="http://www.w3.org/2001/XMLSchema" xmlns:p="http://schemas.microsoft.com/office/2006/metadata/properties" xmlns:ns3="50bd3c10-7d4c-418a-8b23-1e5c1a9a5dff" xmlns:ns4="1cdc09f5-09a4-4dc9-aff6-f34bc0f61841" targetNamespace="http://schemas.microsoft.com/office/2006/metadata/properties" ma:root="true" ma:fieldsID="ae3559bd77095d0f3d37896e3e536af4" ns3:_="" ns4:_="">
    <xsd:import namespace="50bd3c10-7d4c-418a-8b23-1e5c1a9a5dff"/>
    <xsd:import namespace="1cdc09f5-09a4-4dc9-aff6-f34bc0f618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bd3c10-7d4c-418a-8b23-1e5c1a9a5d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c09f5-09a4-4dc9-aff6-f34bc0f618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580D1-B813-4B44-A45F-EA1F26B0AD70}">
  <ds:schemaRefs>
    <ds:schemaRef ds:uri="http://schemas.microsoft.com/office/2006/metadata/properties"/>
    <ds:schemaRef ds:uri="http://schemas.microsoft.com/office/2006/documentManagement/types"/>
    <ds:schemaRef ds:uri="50bd3c10-7d4c-418a-8b23-1e5c1a9a5dff"/>
    <ds:schemaRef ds:uri="http://www.w3.org/XML/1998/namespace"/>
    <ds:schemaRef ds:uri="1cdc09f5-09a4-4dc9-aff6-f34bc0f61841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5D7113E-2C98-41A5-B8F7-64FEC1EC35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0D49A3-ABD6-4BC4-93D1-DAB426448A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bd3c10-7d4c-418a-8b23-1e5c1a9a5dff"/>
    <ds:schemaRef ds:uri="1cdc09f5-09a4-4dc9-aff6-f34bc0f61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842CC7-EE8C-418C-A4CF-891AF7CA4E0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a695096-f56b-42aa-ab88-b69794bfa0c4}" enabled="0" method="" siteId="{4a695096-f56b-42aa-ab88-b69794bfa0c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1341</Words>
  <Characters>7650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Funding for Medical/ Dental students in academic year 2022 to 2023</vt:lpstr>
    </vt:vector>
  </TitlesOfParts>
  <Company>ESANI</Company>
  <LinksUpToDate>false</LinksUpToDate>
  <CharactersWithSpaces>8974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Funding for Medical/ Dental students in academic year 2022 to 2023</dc:title>
  <dc:creator>Sinéad McGrath;Janet Montgomery</dc:creator>
  <cp:lastModifiedBy>Eamon Kerr</cp:lastModifiedBy>
  <cp:revision>5</cp:revision>
  <cp:lastPrinted>2021-09-21T12:33:00Z</cp:lastPrinted>
  <dcterms:created xsi:type="dcterms:W3CDTF">2025-03-14T15:23:00Z</dcterms:created>
  <dcterms:modified xsi:type="dcterms:W3CDTF">2025-03-18T09:46:00Z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a6745fb-3f26-4c57-86f8-58701135f02c_Enabled">
    <vt:lpwstr>true</vt:lpwstr>
  </property>
  <property fmtid="{D5CDD505-2E9C-101B-9397-08002B2CF9AE}" pid="3" name="MSIP_Label_aa6745fb-3f26-4c57-86f8-58701135f02c_SetDate">
    <vt:lpwstr>2022-03-01T16:57:21Z</vt:lpwstr>
  </property>
  <property fmtid="{D5CDD505-2E9C-101B-9397-08002B2CF9AE}" pid="4" name="MSIP_Label_aa6745fb-3f26-4c57-86f8-58701135f02c_Method">
    <vt:lpwstr>Privileged</vt:lpwstr>
  </property>
  <property fmtid="{D5CDD505-2E9C-101B-9397-08002B2CF9AE}" pid="5" name="MSIP_Label_aa6745fb-3f26-4c57-86f8-58701135f02c_Name">
    <vt:lpwstr>NO MARKING (PUBLIC)</vt:lpwstr>
  </property>
  <property fmtid="{D5CDD505-2E9C-101B-9397-08002B2CF9AE}" pid="6" name="MSIP_Label_aa6745fb-3f26-4c57-86f8-58701135f02c_SiteId">
    <vt:lpwstr>4c6898a9-8fca-42f9-aa92-82cb3e252bc6</vt:lpwstr>
  </property>
  <property fmtid="{D5CDD505-2E9C-101B-9397-08002B2CF9AE}" pid="7" name="MSIP_Label_aa6745fb-3f26-4c57-86f8-58701135f02c_ActionId">
    <vt:lpwstr>48349f6c-55b1-4690-ab7d-00008027a28a</vt:lpwstr>
  </property>
  <property fmtid="{D5CDD505-2E9C-101B-9397-08002B2CF9AE}" pid="8" name="MSIP_Label_aa6745fb-3f26-4c57-86f8-58701135f02c_ContentBits">
    <vt:lpwstr>0</vt:lpwstr>
  </property>
  <property fmtid="{D5CDD505-2E9C-101B-9397-08002B2CF9AE}" pid="9" name="ContentTypeId">
    <vt:lpwstr>0x01010022C6120F93F6B848B1089922FE0BF507</vt:lpwstr>
  </property>
</Properties>
</file>